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2937"/>
          <w:sz w:val="56"/>
          <w:szCs w:val="56"/>
        </w:rPr>
        <w:t xml:space="preserve">Roots of Brazil</w:t>
      </w:r>
    </w:p>
    <w:p>
      <w:pPr>
        <w:spacing w:after="60"/>
      </w:pPr>
      <w:r>
        <w:rPr>
          <w:b/>
          <w:bCs/>
          <w:color w:val="8B5E34"/>
          <w:sz w:val="32"/>
          <w:szCs w:val="32"/>
        </w:rPr>
        <w:t xml:space="preserve">Especificação Conceitual da API</w:t>
      </w:r>
    </w:p>
    <w:p>
      <w:pPr>
        <w:spacing w:after="300"/>
      </w:pPr>
      <w:r>
        <w:rPr>
          <w:b/>
          <w:bCs/>
          <w:color w:val="555555"/>
          <w:sz w:val="24"/>
          <w:szCs w:val="24"/>
        </w:rPr>
        <w:t xml:space="preserve">Sobre o Corpus Fundador v1.1</w:t>
      </w:r>
    </w:p>
    <w:p>
      <w:pPr>
        <w:spacing w:after="120"/>
      </w:pPr>
      <w:r>
        <w:rPr>
          <w:i/>
          <w:iCs/>
        </w:rPr>
        <w:t xml:space="preserve">Este documento define, em nível conceitual, os recursos, endpoints, parâmetros e formatos de resposta de uma API REST para servir o Corpus Fundador v1.1 a um aplicativo cliente. Não é uma implementação — é a especificação que orienta o desenvolvimento futuro, derivada diretamente do esquema documentado no Dicionário de Dados Oficial. Nenhum dado novo foi adicionado ao corpus para produzir esta especificação.</w:t>
      </w:r>
    </w:p>
    <w:p>
      <w:pPr>
        <w:pStyle w:val="Heading1"/>
        <w:spacing w:after="200" w:before="400"/>
      </w:pPr>
      <w:r>
        <w:t xml:space="preserve">1. Princípios de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RESTful, recursos em português (alinhado ao domínio de dados), JSON como formato de troca.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Todo Objeto Roots é um recurso de primeira classe com endpoint próprio (/ingredientes, /receitas, /tecnicas, /povos, /territorios, /patrimonio, /biomas).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camada RELACOES não é exposta apenas como tabela crua (/relacoes) — também alimenta endpoints de navegação derivados (ex.: /ingredientes/{id}/receitas), poupando o cliente de montar joins.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Toda resposta que referencia um ID de outra entidade inclui o objeto ID puro (para navegação) e pode oferecer expansão opcional via parâmetro ?expand=.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Confiabilidade e proveniência (fonte, pagina, observacoes) são sempre retornadas junto ao dado — a API nunca esconde o grau de certeza de uma informação.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Versionamento de API por path (/v1/...), independente do versionamento do corpus (v1.1, v1.2…) — mudança de schema do corpus não obriga quebra de contrato de API se for aditiva.</w:t>
      </w:r>
    </w:p>
    <w:p>
      <w:pPr>
        <w:pStyle w:val="Heading1"/>
        <w:spacing w:after="200" w:before="400"/>
      </w:pPr>
      <w:r>
        <w:t xml:space="preserve">2. Recursos e Endpoints por Entidade</w:t>
      </w:r>
    </w:p>
    <w:p>
      <w:pPr>
        <w:pStyle w:val="Heading2"/>
        <w:spacing w:after="150" w:before="300"/>
      </w:pPr>
      <w:r>
        <w:t xml:space="preserve">2.1 Ingredientes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GET /v1/ingredientes</w:t>
      </w:r>
      <w:r>
        <w:rPr>
          <w:rFonts w:ascii="Consolas" w:cs="Consolas" w:eastAsia="Consolas" w:hAnsi="Consolas"/>
          <w:sz w:val="18"/>
          <w:szCs w:val="18"/>
        </w:rPr>
        <w:br/>
        <w:t xml:space="preserve">GET /v1/ingredientes/{id}</w:t>
      </w:r>
      <w:r>
        <w:rPr>
          <w:rFonts w:ascii="Consolas" w:cs="Consolas" w:eastAsia="Consolas" w:hAnsi="Consolas"/>
          <w:sz w:val="18"/>
          <w:szCs w:val="18"/>
        </w:rPr>
        <w:br/>
        <w:t xml:space="preserve">GET /v1/ingredientes?categoria=&amp;subcategoria=&amp;classe=&amp;confiabilidade=&amp;bioma=&amp;q=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00"/>
      </w:tblGrid>
      <w:tr>
        <w:tc>
          <w:tcPr>
            <w:tcW w:type="dxa" w:w="1800"/>
            <w:shd w:fill="1F2937" w:val="clear"/>
          </w:tcPr>
          <w:p>
            <w:r>
              <w:rPr>
                <w:b/>
                <w:bCs/>
                <w:sz w:val="18"/>
                <w:szCs w:val="18"/>
              </w:rPr>
              <w:t xml:space="preserve">Parâmetro</w:t>
            </w:r>
          </w:p>
        </w:tc>
        <w:tc>
          <w:tcPr>
            <w:tcW w:type="dxa" w:w="1800"/>
            <w:shd w:fill="1F2937" w:val="clear"/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5400"/>
            <w:shd w:fill="1F2937" w:val="clear"/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shd w:fill="F3EFE9" w:val="clear"/>
          </w:tcPr>
          <w:p>
            <w:r>
              <w:rPr>
                <w:b/>
                <w:bCs/>
                <w:sz w:val="18"/>
                <w:szCs w:val="18"/>
              </w:rPr>
              <w:t xml:space="preserve">classe</w:t>
            </w:r>
          </w:p>
        </w:tc>
        <w:tc>
          <w:tcPr>
            <w:tcW w:type="dxa" w:w="1800"/>
            <w:shd w:fill="F3EFE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5400"/>
            <w:shd w:fill="F3EFE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Vegetal | Animal | Processado/Outro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confiabilidade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Filtra pelo domínio de confiabilidade (Seção 3 do Dicionário)</w:t>
            </w:r>
          </w:p>
        </w:tc>
      </w:tr>
      <w:tr>
        <w:tc>
          <w:tcPr>
            <w:tcW w:type="dxa" w:w="1800"/>
            <w:shd w:fill="F3EFE9" w:val="clear"/>
          </w:tcPr>
          <w:p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1800"/>
            <w:shd w:fill="F3EFE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400"/>
            <w:shd w:fill="F3EFE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Busca textual em Nome principal e Nomes regionais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expand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(lista)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Ex.: expand=receitas,territorios,povos — resolve relações via RELACOES</w:t>
            </w:r>
          </w:p>
        </w:tc>
      </w:tr>
    </w:tbl>
    <w:p>
      <w:pPr>
        <w:spacing w:after="120"/>
      </w:pPr>
      <w:r>
        <w:t xml:space="preserve">Exemplo de resposta (GET /v1/ingredientes/ING-000031):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"id": "ING-000031",</w:t>
      </w:r>
      <w:r>
        <w:rPr>
          <w:rFonts w:ascii="Consolas" w:cs="Consolas" w:eastAsia="Consolas" w:hAnsi="Consolas"/>
          <w:sz w:val="18"/>
          <w:szCs w:val="18"/>
        </w:rPr>
        <w:br/>
        <w:t xml:space="preserve">  "nome_principal": "Cebola",</w:t>
      </w:r>
      <w:r>
        <w:rPr>
          <w:rFonts w:ascii="Consolas" w:cs="Consolas" w:eastAsia="Consolas" w:hAnsi="Consolas"/>
          <w:sz w:val="18"/>
          <w:szCs w:val="18"/>
        </w:rPr>
        <w:br/>
        <w:t xml:space="preserve">  "categoria": "Ingrediente vegetal",</w:t>
      </w:r>
      <w:r>
        <w:rPr>
          <w:rFonts w:ascii="Consolas" w:cs="Consolas" w:eastAsia="Consolas" w:hAnsi="Consolas"/>
          <w:sz w:val="18"/>
          <w:szCs w:val="18"/>
        </w:rPr>
        <w:br/>
        <w:t xml:space="preserve">  "subcategoria": "Bulbo/Hortaliça",</w:t>
      </w:r>
      <w:r>
        <w:rPr>
          <w:rFonts w:ascii="Consolas" w:cs="Consolas" w:eastAsia="Consolas" w:hAnsi="Consolas"/>
          <w:sz w:val="18"/>
          <w:szCs w:val="18"/>
        </w:rPr>
        <w:br/>
        <w:t xml:space="preserve">  "classe": "Vegetal",</w:t>
      </w:r>
      <w:r>
        <w:rPr>
          <w:rFonts w:ascii="Consolas" w:cs="Consolas" w:eastAsia="Consolas" w:hAnsi="Consolas"/>
          <w:sz w:val="18"/>
          <w:szCs w:val="18"/>
        </w:rPr>
        <w:br/>
        <w:t xml:space="preserve">  "confiabilidade": "🟢 Confirmado em várias fontes",</w:t>
      </w:r>
      <w:r>
        <w:rPr>
          <w:rFonts w:ascii="Consolas" w:cs="Consolas" w:eastAsia="Consolas" w:hAnsi="Consolas"/>
          <w:sz w:val="18"/>
          <w:szCs w:val="18"/>
        </w:rPr>
        <w:br/>
        <w:t xml:space="preserve">  "n_citacoes": 98,</w:t>
      </w:r>
      <w:r>
        <w:rPr>
          <w:rFonts w:ascii="Consolas" w:cs="Consolas" w:eastAsia="Consolas" w:hAnsi="Consolas"/>
          <w:sz w:val="18"/>
          <w:szCs w:val="18"/>
        </w:rPr>
        <w:br/>
        <w:t xml:space="preserve">  "n_livros_fonte": 6,</w:t>
      </w:r>
      <w:r>
        <w:rPr>
          <w:rFonts w:ascii="Consolas" w:cs="Consolas" w:eastAsia="Consolas" w:hAnsi="Consolas"/>
          <w:sz w:val="18"/>
          <w:szCs w:val="18"/>
        </w:rPr>
        <w:br/>
        <w:t xml:space="preserve">  "_links":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"receitas": "/v1/ingredientes/ING-000031/receitas",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"territorios": "/v1/ingredientes/ING-000031/territorios",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"povos": "/v1/ingredientes/ING-000031/povos"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50" w:before="300"/>
      </w:pPr>
      <w:r>
        <w:t xml:space="preserve">2.2 Receitas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GET /v1/receitas</w:t>
      </w:r>
      <w:r>
        <w:rPr>
          <w:rFonts w:ascii="Consolas" w:cs="Consolas" w:eastAsia="Consolas" w:hAnsi="Consolas"/>
          <w:sz w:val="18"/>
          <w:szCs w:val="18"/>
        </w:rPr>
        <w:br/>
        <w:t xml:space="preserve">GET /v1/receitas/{id}</w:t>
      </w:r>
      <w:r>
        <w:rPr>
          <w:rFonts w:ascii="Consolas" w:cs="Consolas" w:eastAsia="Consolas" w:hAnsi="Consolas"/>
          <w:sz w:val="18"/>
          <w:szCs w:val="18"/>
        </w:rPr>
        <w:br/>
        <w:t xml:space="preserve">GET /v1/receitas?categoria=&amp;estado=&amp;regiao=&amp;confiabilidade=&amp;q=</w:t>
      </w:r>
    </w:p>
    <w:p>
      <w:pPr>
        <w:pStyle w:val="Heading3"/>
        <w:spacing w:after="100" w:before="200"/>
      </w:pPr>
      <w:r>
        <w:t xml:space="preserve">Sub-recursos de navegação (derivados da camada RELACOES)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c>
          <w:tcPr>
            <w:tcW w:type="dxa" w:w="3000"/>
            <w:shd w:fill="1F2937" w:val="clear"/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500"/>
            <w:shd w:fill="1F2937" w:val="clear"/>
          </w:tcPr>
          <w:p>
            <w:r>
              <w:rPr>
                <w:b/>
                <w:bCs/>
                <w:sz w:val="18"/>
                <w:szCs w:val="18"/>
              </w:rPr>
              <w:t xml:space="preserve">Tipo de relação usada</w:t>
            </w:r>
          </w:p>
        </w:tc>
        <w:tc>
          <w:tcPr>
            <w:tcW w:type="dxa" w:w="3500"/>
            <w:shd w:fill="1F2937" w:val="clear"/>
          </w:tcPr>
          <w:p>
            <w:r>
              <w:rPr>
                <w:b/>
                <w:bCs/>
                <w:sz w:val="18"/>
                <w:szCs w:val="18"/>
              </w:rPr>
              <w:t xml:space="preserve">Retorna</w:t>
            </w:r>
          </w:p>
        </w:tc>
      </w:tr>
      <w:tr>
        <w:tc>
          <w:tcPr>
            <w:tcW w:type="dxa" w:w="3000"/>
            <w:shd w:fill="F3EFE9" w:val="clear"/>
          </w:tcPr>
          <w:p>
            <w:r>
              <w:rPr>
                <w:b/>
                <w:bCs/>
                <w:sz w:val="18"/>
                <w:szCs w:val="18"/>
              </w:rPr>
              <w:t xml:space="preserve">/v1/receitas/{id}/ingredientes</w:t>
            </w:r>
          </w:p>
        </w:tc>
        <w:tc>
          <w:tcPr>
            <w:tcW w:type="dxa" w:w="2500"/>
            <w:shd w:fill="F3EFE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USA_INGREDIENTE</w:t>
            </w:r>
          </w:p>
        </w:tc>
        <w:tc>
          <w:tcPr>
            <w:tcW w:type="dxa" w:w="3500"/>
            <w:shd w:fill="F3EFE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Lista de ingredientes da receita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sz w:val="18"/>
                <w:szCs w:val="18"/>
              </w:rPr>
              <w:t xml:space="preserve">/v1/receitas/{id}/tecnicas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UTILIZA_TECNICA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Técnicas empregadas no preparo</w:t>
            </w:r>
          </w:p>
        </w:tc>
      </w:tr>
      <w:tr>
        <w:tc>
          <w:tcPr>
            <w:tcW w:type="dxa" w:w="3000"/>
            <w:shd w:fill="F3EFE9" w:val="clear"/>
          </w:tcPr>
          <w:p>
            <w:r>
              <w:rPr>
                <w:b/>
                <w:bCs/>
                <w:sz w:val="18"/>
                <w:szCs w:val="18"/>
              </w:rPr>
              <w:t xml:space="preserve">/v1/receitas/{id}/territorio</w:t>
            </w:r>
          </w:p>
        </w:tc>
        <w:tc>
          <w:tcPr>
            <w:tcW w:type="dxa" w:w="2500"/>
            <w:shd w:fill="F3EFE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OCORRE_EM</w:t>
            </w:r>
          </w:p>
        </w:tc>
        <w:tc>
          <w:tcPr>
            <w:tcW w:type="dxa" w:w="3500"/>
            <w:shd w:fill="F3EFE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Território de origem da receita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  <w:sz w:val="18"/>
                <w:szCs w:val="18"/>
              </w:rPr>
              <w:t xml:space="preserve">/v1/receitas/{id}/povos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ASSOCIADO_A_POVO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Povos de influência cultural</w:t>
            </w:r>
          </w:p>
        </w:tc>
      </w:tr>
    </w:tbl>
    <w:p>
      <w:pPr>
        <w:pStyle w:val="Heading2"/>
        <w:spacing w:after="150" w:before="300"/>
      </w:pPr>
      <w:r>
        <w:t xml:space="preserve">2.3 Técnicas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GET /v1/tecnicas</w:t>
      </w:r>
      <w:r>
        <w:rPr>
          <w:rFonts w:ascii="Consolas" w:cs="Consolas" w:eastAsia="Consolas" w:hAnsi="Consolas"/>
          <w:sz w:val="18"/>
          <w:szCs w:val="18"/>
        </w:rPr>
        <w:br/>
        <w:t xml:space="preserve">GET /v1/tecnicas/{id}</w:t>
      </w:r>
      <w:r>
        <w:rPr>
          <w:rFonts w:ascii="Consolas" w:cs="Consolas" w:eastAsia="Consolas" w:hAnsi="Consolas"/>
          <w:sz w:val="18"/>
          <w:szCs w:val="18"/>
        </w:rPr>
        <w:br/>
        <w:t xml:space="preserve">GET /v1/tecnicas/{id}/ingredientes   (PREPARADO_COM)</w:t>
      </w:r>
      <w:r>
        <w:rPr>
          <w:rFonts w:ascii="Consolas" w:cs="Consolas" w:eastAsia="Consolas" w:hAnsi="Consolas"/>
          <w:sz w:val="18"/>
          <w:szCs w:val="18"/>
        </w:rPr>
        <w:br/>
        <w:t xml:space="preserve">GET /v1/tecnicas/{id}/receitas       (UTILIZA_TECNICA, sentido inverso)</w:t>
      </w:r>
    </w:p>
    <w:p>
      <w:pPr>
        <w:pStyle w:val="Heading2"/>
        <w:spacing w:after="150" w:before="300"/>
      </w:pPr>
      <w:r>
        <w:t xml:space="preserve">2.4 Povos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GET /v1/povos</w:t>
      </w:r>
      <w:r>
        <w:rPr>
          <w:rFonts w:ascii="Consolas" w:cs="Consolas" w:eastAsia="Consolas" w:hAnsi="Consolas"/>
          <w:sz w:val="18"/>
          <w:szCs w:val="18"/>
        </w:rPr>
        <w:br/>
        <w:t xml:space="preserve">GET /v1/povos/{id}</w:t>
      </w:r>
      <w:r>
        <w:rPr>
          <w:rFonts w:ascii="Consolas" w:cs="Consolas" w:eastAsia="Consolas" w:hAnsi="Consolas"/>
          <w:sz w:val="18"/>
          <w:szCs w:val="18"/>
        </w:rPr>
        <w:br/>
        <w:t xml:space="preserve">GET /v1/povos/{id}/ingredientes   (ASSOCIADO_A_POVO / ORIGINARIO_DE, sentido inverso)</w:t>
      </w:r>
      <w:r>
        <w:rPr>
          <w:rFonts w:ascii="Consolas" w:cs="Consolas" w:eastAsia="Consolas" w:hAnsi="Consolas"/>
          <w:sz w:val="18"/>
          <w:szCs w:val="18"/>
        </w:rPr>
        <w:br/>
        <w:t xml:space="preserve">GET /v1/povos/{id}/receitas       (ASSOCIADO_A_POVO, sentido inverso)</w:t>
      </w:r>
      <w:r>
        <w:rPr>
          <w:rFonts w:ascii="Consolas" w:cs="Consolas" w:eastAsia="Consolas" w:hAnsi="Consolas"/>
          <w:sz w:val="18"/>
          <w:szCs w:val="18"/>
        </w:rPr>
        <w:br/>
        <w:t xml:space="preserve">GET /v1/povos/{id}/patrimonio     (PATRIMONIO_DE, sentido inverso)</w:t>
      </w:r>
    </w:p>
    <w:p>
      <w:pPr>
        <w:pStyle w:val="Heading2"/>
        <w:spacing w:after="150" w:before="300"/>
      </w:pPr>
      <w:r>
        <w:t xml:space="preserve">2.5 Territórios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GET /v1/territorios</w:t>
      </w:r>
      <w:r>
        <w:rPr>
          <w:rFonts w:ascii="Consolas" w:cs="Consolas" w:eastAsia="Consolas" w:hAnsi="Consolas"/>
          <w:sz w:val="18"/>
          <w:szCs w:val="18"/>
        </w:rPr>
        <w:br/>
        <w:t xml:space="preserve">GET /v1/territorios/{id}</w:t>
      </w:r>
      <w:r>
        <w:rPr>
          <w:rFonts w:ascii="Consolas" w:cs="Consolas" w:eastAsia="Consolas" w:hAnsi="Consolas"/>
          <w:sz w:val="18"/>
          <w:szCs w:val="18"/>
        </w:rPr>
        <w:br/>
        <w:t xml:space="preserve">GET /v1/territorios/{id}/receitas      (OCORRE_EM, sentido inverso)</w:t>
      </w:r>
      <w:r>
        <w:rPr>
          <w:rFonts w:ascii="Consolas" w:cs="Consolas" w:eastAsia="Consolas" w:hAnsi="Consolas"/>
          <w:sz w:val="18"/>
          <w:szCs w:val="18"/>
        </w:rPr>
        <w:br/>
        <w:t xml:space="preserve">GET /v1/territorios/{id}/ingredientes  (CULTIVADO_EM, sentido inverso)</w:t>
      </w:r>
      <w:r>
        <w:rPr>
          <w:rFonts w:ascii="Consolas" w:cs="Consolas" w:eastAsia="Consolas" w:hAnsi="Consolas"/>
          <w:sz w:val="18"/>
          <w:szCs w:val="18"/>
        </w:rPr>
        <w:br/>
        <w:t xml:space="preserve">GET /v1/territorios/{id}/biomas        (LOCALIZADO_EM_BIOMA)</w:t>
      </w:r>
    </w:p>
    <w:p>
      <w:pPr>
        <w:pStyle w:val="Heading2"/>
        <w:spacing w:after="150" w:before="300"/>
      </w:pPr>
      <w:r>
        <w:t xml:space="preserve">2.6 Biomas (nova entidade Sprint 2)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GET /v1/biomas</w:t>
      </w:r>
      <w:r>
        <w:rPr>
          <w:rFonts w:ascii="Consolas" w:cs="Consolas" w:eastAsia="Consolas" w:hAnsi="Consolas"/>
          <w:sz w:val="18"/>
          <w:szCs w:val="18"/>
        </w:rPr>
        <w:br/>
        <w:t xml:space="preserve">GET /v1/biomas/{id}</w:t>
      </w:r>
      <w:r>
        <w:rPr>
          <w:rFonts w:ascii="Consolas" w:cs="Consolas" w:eastAsia="Consolas" w:hAnsi="Consolas"/>
          <w:sz w:val="18"/>
          <w:szCs w:val="18"/>
        </w:rPr>
        <w:br/>
        <w:t xml:space="preserve">GET /v1/biomas/{id}/territorios     (LOCALIZADO_EM_BIOMA, sentido inverso)</w:t>
      </w:r>
      <w:r>
        <w:rPr>
          <w:rFonts w:ascii="Consolas" w:cs="Consolas" w:eastAsia="Consolas" w:hAnsi="Consolas"/>
          <w:sz w:val="18"/>
          <w:szCs w:val="18"/>
        </w:rPr>
        <w:br/>
        <w:t xml:space="preserve">GET /v1/biomas/{id}/ingredientes    (ORIGINARIO_DE, sentido inverso)</w:t>
      </w:r>
    </w:p>
    <w:p>
      <w:pPr>
        <w:spacing w:after="120"/>
      </w:pPr>
      <w:r>
        <w:rPr>
          <w:i/>
          <w:iCs/>
          <w:sz w:val="19"/>
          <w:szCs w:val="19"/>
        </w:rPr>
        <w:t xml:space="preserve">Nota: o bioma BIO-000007 (Zona Costeira/Litoral) deve ser sinalizado no schema de resposta com um campo booleano oficial_ibge: false, para que o cliente não o confunda com os 6 biomas oficiais.</w:t>
      </w:r>
    </w:p>
    <w:p>
      <w:pPr>
        <w:pStyle w:val="Heading2"/>
        <w:spacing w:after="150" w:before="300"/>
      </w:pPr>
      <w:r>
        <w:t xml:space="preserve">2.7 Patrimônio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GET /v1/patrimonio</w:t>
      </w:r>
      <w:r>
        <w:rPr>
          <w:rFonts w:ascii="Consolas" w:cs="Consolas" w:eastAsia="Consolas" w:hAnsi="Consolas"/>
          <w:sz w:val="18"/>
          <w:szCs w:val="18"/>
        </w:rPr>
        <w:br/>
        <w:t xml:space="preserve">GET /v1/patrimonio/{id}</w:t>
      </w:r>
      <w:r>
        <w:rPr>
          <w:rFonts w:ascii="Consolas" w:cs="Consolas" w:eastAsia="Consolas" w:hAnsi="Consolas"/>
          <w:sz w:val="18"/>
          <w:szCs w:val="18"/>
        </w:rPr>
        <w:br/>
        <w:t xml:space="preserve">GET /v1/patrimonio?categoria=</w:t>
      </w:r>
      <w:r>
        <w:rPr>
          <w:rFonts w:ascii="Consolas" w:cs="Consolas" w:eastAsia="Consolas" w:hAnsi="Consolas"/>
          <w:sz w:val="18"/>
          <w:szCs w:val="18"/>
        </w:rPr>
        <w:br/>
        <w:t xml:space="preserve">GET /v1/patrimonio/{id}/povos_territorios   (PATRIMONIO_DE)</w:t>
      </w:r>
    </w:p>
    <w:p>
      <w:pPr>
        <w:pStyle w:val="Heading1"/>
        <w:spacing w:after="200" w:before="400"/>
      </w:pPr>
      <w:r>
        <w:t xml:space="preserve">3. Recurso de Relações (acesso direto ao grafo)</w:t>
      </w:r>
    </w:p>
    <w:p>
      <w:pPr>
        <w:spacing w:after="120"/>
      </w:pPr>
      <w:r>
        <w:t xml:space="preserve">Além dos endpoints de navegação por entidade (Seção 2), a API expõe a camada RELACOES diretamente para consultas de grafo mais flexíveis: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GET /v1/relacoes</w:t>
      </w:r>
      <w:r>
        <w:rPr>
          <w:rFonts w:ascii="Consolas" w:cs="Consolas" w:eastAsia="Consolas" w:hAnsi="Consolas"/>
          <w:sz w:val="18"/>
          <w:szCs w:val="18"/>
        </w:rPr>
        <w:br/>
        <w:t xml:space="preserve">GET /v1/relacoes?origem_id=&amp;destino_id=&amp;tipo_relacao=&amp;confiabilidade=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5700"/>
      </w:tblGrid>
      <w:tr>
        <w:tc>
          <w:tcPr>
            <w:tcW w:type="dxa" w:w="1800"/>
            <w:shd w:fill="1F2937" w:val="clear"/>
          </w:tcPr>
          <w:p>
            <w:r>
              <w:rPr>
                <w:b/>
                <w:bCs/>
                <w:sz w:val="18"/>
                <w:szCs w:val="18"/>
              </w:rPr>
              <w:t xml:space="preserve">Parâmetro</w:t>
            </w:r>
          </w:p>
        </w:tc>
        <w:tc>
          <w:tcPr>
            <w:tcW w:type="dxa" w:w="1500"/>
            <w:shd w:fill="1F2937" w:val="clear"/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5700"/>
            <w:shd w:fill="1F2937" w:val="clear"/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shd w:fill="F3EFE9" w:val="clear"/>
          </w:tcPr>
          <w:p>
            <w:r>
              <w:rPr>
                <w:b/>
                <w:bCs/>
                <w:sz w:val="18"/>
                <w:szCs w:val="18"/>
              </w:rPr>
              <w:t xml:space="preserve">origem_id</w:t>
            </w:r>
          </w:p>
        </w:tc>
        <w:tc>
          <w:tcPr>
            <w:tcW w:type="dxa" w:w="1500"/>
            <w:shd w:fill="F3EFE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700"/>
            <w:shd w:fill="F3EFE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Filtra por ID de origem exato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b/>
                <w:bCs/>
                <w:sz w:val="18"/>
                <w:szCs w:val="18"/>
              </w:rPr>
              <w:t xml:space="preserve">destino_id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7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Filtra por ID de destino exato</w:t>
            </w:r>
          </w:p>
        </w:tc>
      </w:tr>
      <w:tr>
        <w:tc>
          <w:tcPr>
            <w:tcW w:type="dxa" w:w="1800"/>
            <w:shd w:fill="F3EFE9" w:val="clear"/>
          </w:tcPr>
          <w:p>
            <w:r>
              <w:rPr>
                <w:b/>
                <w:bCs/>
                <w:sz w:val="18"/>
                <w:szCs w:val="18"/>
              </w:rPr>
              <w:t xml:space="preserve">tipo_relacao</w:t>
            </w:r>
          </w:p>
        </w:tc>
        <w:tc>
          <w:tcPr>
            <w:tcW w:type="dxa" w:w="1500"/>
            <w:shd w:fill="F3EFE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5700"/>
            <w:shd w:fill="F3EFE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 dos 12 tipos definidos (ver Dicionário de Dados, Seção 12)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b/>
                <w:bCs/>
                <w:sz w:val="18"/>
                <w:szCs w:val="18"/>
              </w:rPr>
              <w:t xml:space="preserve">confiabilidade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57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Filtra por grau de confiança da relação</w:t>
            </w:r>
          </w:p>
        </w:tc>
      </w:tr>
    </w:tbl>
    <w:p>
      <w:pPr>
        <w:spacing w:after="120"/>
      </w:pPr>
      <w:r>
        <w:t xml:space="preserve">Exemplo de resposta (GET /v1/relacoes?origem_id=REC-000001&amp;tipo_relacao=USA_INGREDIENTE):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"total": 7,</w:t>
      </w:r>
      <w:r>
        <w:rPr>
          <w:rFonts w:ascii="Consolas" w:cs="Consolas" w:eastAsia="Consolas" w:hAnsi="Consolas"/>
          <w:sz w:val="18"/>
          <w:szCs w:val="18"/>
        </w:rPr>
        <w:br/>
        <w:t xml:space="preserve">  "items":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"rel_id": "REL-000001",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"origem_id": "REC-000001",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"destino_id": "ING-000010",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"tipo_relacao": "USA_INGREDIENTE",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"fonte": "APOSTILA COZINHA/CULINÁRIA BRASILEIRA (Fichas Técnicas); ...",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"pagina": "ver Aba 7 (citação do ingrediente)",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"confiabilidade": "🟢 Confirmado em várias fontes",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"observacoes": "Reconstruído da junção Receita-Ingrediente do Corpus v1.0.",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"data_criacao": "2026-08-05"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]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200" w:before="400"/>
      </w:pPr>
      <w:r>
        <w:t xml:space="preserve">4. Endpoint de Busca Global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GET /v1/busca?q=&amp;tipos=ingrediente,receita,tecnica,povo,territorio,bioma,patrimonio</w:t>
      </w:r>
    </w:p>
    <w:p>
      <w:pPr>
        <w:spacing w:after="120"/>
      </w:pPr>
      <w:r>
        <w:t xml:space="preserve">Busca textual multi-entidade, retornando resultados heterogêneos com o campo tipo indicando de qual catálogo cada item veio. Útil para a barra de busca principal do aplicativo.</w:t>
      </w:r>
    </w:p>
    <w:p>
      <w:pPr>
        <w:pStyle w:val="Heading1"/>
        <w:spacing w:after="200" w:before="400"/>
      </w:pPr>
      <w:r>
        <w:t xml:space="preserve">5. Paginação, Ordenação e Formato de Erro</w:t>
      </w:r>
    </w:p>
    <w:p>
      <w:pPr>
        <w:pStyle w:val="Heading3"/>
        <w:spacing w:after="100" w:before="200"/>
      </w:pPr>
      <w:r>
        <w:t xml:space="preserve">5.1 Paginação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GET /v1/receitas?page=1&amp;page_size=20</w:t>
      </w:r>
    </w:p>
    <w:p>
      <w:pPr>
        <w:spacing w:after="120"/>
      </w:pPr>
      <w:r>
        <w:t xml:space="preserve">Resposta inclui total, page, page_size, items. page_size máximo sugerido: 100.</w:t>
      </w:r>
    </w:p>
    <w:p>
      <w:pPr>
        <w:pStyle w:val="Heading3"/>
        <w:spacing w:after="100" w:before="200"/>
      </w:pPr>
      <w:r>
        <w:t xml:space="preserve">5.2 Ordenação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GET /v1/ingredientes?sort=n_citacoes&amp;order=desc</w:t>
      </w:r>
    </w:p>
    <w:p>
      <w:pPr>
        <w:pStyle w:val="Heading3"/>
        <w:spacing w:after="100" w:before="200"/>
      </w:pPr>
      <w:r>
        <w:t xml:space="preserve">5.3 Formato de erro padrão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"error":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"code": "NOT_FOUND",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"message": "Objeto com ID 'ING-999999' não encontrado.",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"status": 404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400"/>
      </w:tblGrid>
      <w:tr>
        <w:tc>
          <w:tcPr>
            <w:tcW w:type="dxa" w:w="1600"/>
            <w:shd w:fill="1F2937" w:val="clear"/>
          </w:tcPr>
          <w:p>
            <w:r>
              <w:rPr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3000"/>
            <w:shd w:fill="1F2937" w:val="clear"/>
          </w:tcPr>
          <w:p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4400"/>
            <w:shd w:fill="1F2937" w:val="clear"/>
          </w:tcPr>
          <w:p>
            <w:r>
              <w:rPr>
                <w:b/>
                <w:bCs/>
                <w:sz w:val="18"/>
                <w:szCs w:val="18"/>
              </w:rPr>
              <w:t xml:space="preserve">Quando ocorre</w:t>
            </w:r>
          </w:p>
        </w:tc>
      </w:tr>
      <w:tr>
        <w:tc>
          <w:tcPr>
            <w:tcW w:type="dxa" w:w="1600"/>
            <w:shd w:fill="F3EFE9" w:val="clear"/>
          </w:tcPr>
          <w:p>
            <w:r>
              <w:rPr>
                <w:b/>
                <w:bCs/>
                <w:sz w:val="18"/>
                <w:szCs w:val="18"/>
              </w:rPr>
              <w:t xml:space="preserve">400</w:t>
            </w:r>
          </w:p>
        </w:tc>
        <w:tc>
          <w:tcPr>
            <w:tcW w:type="dxa" w:w="3000"/>
            <w:shd w:fill="F3EFE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INVALID_PARAMETER</w:t>
            </w:r>
          </w:p>
        </w:tc>
        <w:tc>
          <w:tcPr>
            <w:tcW w:type="dxa" w:w="4400"/>
            <w:shd w:fill="F3EFE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Parâmetro de query inválido (ex.: tipo_relacao fora do domínio)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b/>
                <w:bCs/>
                <w:sz w:val="18"/>
                <w:szCs w:val="18"/>
              </w:rPr>
              <w:t xml:space="preserve">404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NOT_FOUND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 não existe em nenhum catálogo</w:t>
            </w:r>
          </w:p>
        </w:tc>
      </w:tr>
      <w:tr>
        <w:tc>
          <w:tcPr>
            <w:tcW w:type="dxa" w:w="1600"/>
            <w:shd w:fill="F3EFE9" w:val="clear"/>
          </w:tcPr>
          <w:p>
            <w:r>
              <w:rPr>
                <w:b/>
                <w:bCs/>
                <w:sz w:val="18"/>
                <w:szCs w:val="18"/>
              </w:rPr>
              <w:t xml:space="preserve">422</w:t>
            </w:r>
          </w:p>
        </w:tc>
        <w:tc>
          <w:tcPr>
            <w:tcW w:type="dxa" w:w="3000"/>
            <w:shd w:fill="F3EFE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REFERENTIAL_INTEGRITY_ERROR</w:t>
            </w:r>
          </w:p>
        </w:tc>
        <w:tc>
          <w:tcPr>
            <w:tcW w:type="dxa" w:w="4400"/>
            <w:shd w:fill="F3EFE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origem_id/destino_id não corresponde a nenhuma entidade conhecida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b/>
                <w:bCs/>
                <w:sz w:val="18"/>
                <w:szCs w:val="18"/>
              </w:rPr>
              <w:t xml:space="preserve">500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 não tratado no servidor</w:t>
            </w:r>
          </w:p>
        </w:tc>
      </w:tr>
    </w:tbl>
    <w:p>
      <w:pPr>
        <w:pStyle w:val="Heading1"/>
        <w:spacing w:after="200" w:before="400"/>
      </w:pPr>
      <w:r>
        <w:t xml:space="preserve">6. Autenticação e Controle de Acesso (placeholder)</w:t>
      </w:r>
    </w:p>
    <w:p>
      <w:pPr>
        <w:spacing w:after="120"/>
      </w:pPr>
      <w:r>
        <w:t xml:space="preserve">Não definido nesta rodada — o corpus atual é de leitura pública dentro do escopo do aplicativo. Recomenda-se, na implementação real: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Chave de API (header X-API-Key) para limitar uso e permitir métricas de consumo por cliente.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Todos os endpoints desta especificação são somente leitura (GET) nesta versão conceitual — não há endpoints de escrita (POST/PUT/DELETE) definidos, refletindo que o corpus é curado offline (mineração + auditoria) e publicado como snapshot versionado, não editado via API pelo aplicativo cliente.</w:t>
      </w:r>
    </w:p>
    <w:p>
      <w:pPr>
        <w:pStyle w:val="Heading1"/>
        <w:spacing w:after="200" w:before="400"/>
      </w:pPr>
      <w:r>
        <w:t xml:space="preserve">7. Mapeamento Direto Schema de Dados → API</w:t>
      </w:r>
    </w:p>
    <w:p>
      <w:pPr>
        <w:spacing w:after="120"/>
      </w:pPr>
      <w:r>
        <w:t xml:space="preserve">Toda propriedade de resposta de API corresponde 1:1 a uma coluna documentada no Dicionário de Dados Oficial — não há transformação, agregação ou dado derivado além dos já calculados no corpus (ex.: Territórios associados (n) do catálogo de Biomas). Isso garante que a API seja uma camada de acesso fiel ao corpus homologado, sem introduzir nova lógica de negócio não auditada.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2937" w:val="clear"/>
          </w:tcPr>
          <w:p>
            <w:r>
              <w:rPr>
                <w:b/>
                <w:bCs/>
                <w:sz w:val="18"/>
                <w:szCs w:val="18"/>
              </w:rPr>
              <w:t xml:space="preserve">Recurso da API</w:t>
            </w:r>
          </w:p>
        </w:tc>
        <w:tc>
          <w:tcPr>
            <w:tcW w:type="dxa" w:w="4500"/>
            <w:shd w:fill="1F2937" w:val="clear"/>
          </w:tcPr>
          <w:p>
            <w:r>
              <w:rPr>
                <w:b/>
                <w:bCs/>
                <w:sz w:val="18"/>
                <w:szCs w:val="18"/>
              </w:rPr>
              <w:t xml:space="preserve">Aba de origem no workbook</w:t>
            </w:r>
          </w:p>
        </w:tc>
      </w:tr>
      <w:tr>
        <w:tc>
          <w:tcPr>
            <w:tcW w:type="dxa" w:w="4500"/>
            <w:shd w:fill="F3EFE9" w:val="clear"/>
          </w:tcPr>
          <w:p>
            <w:r>
              <w:rPr>
                <w:b/>
                <w:bCs/>
                <w:sz w:val="18"/>
                <w:szCs w:val="18"/>
              </w:rPr>
              <w:t xml:space="preserve">/v1/ingredientes</w:t>
            </w:r>
          </w:p>
        </w:tc>
        <w:tc>
          <w:tcPr>
            <w:tcW w:type="dxa" w:w="4500"/>
            <w:shd w:fill="F3EFE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Catálogo Ingredientes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b/>
                <w:bCs/>
                <w:sz w:val="18"/>
                <w:szCs w:val="18"/>
              </w:rPr>
              <w:t xml:space="preserve">/v1/receitas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 Catálogo Receitas</w:t>
            </w:r>
          </w:p>
        </w:tc>
      </w:tr>
      <w:tr>
        <w:tc>
          <w:tcPr>
            <w:tcW w:type="dxa" w:w="4500"/>
            <w:shd w:fill="F3EFE9" w:val="clear"/>
          </w:tcPr>
          <w:p>
            <w:r>
              <w:rPr>
                <w:b/>
                <w:bCs/>
                <w:sz w:val="18"/>
                <w:szCs w:val="18"/>
              </w:rPr>
              <w:t xml:space="preserve">/v1/tecnicas</w:t>
            </w:r>
          </w:p>
        </w:tc>
        <w:tc>
          <w:tcPr>
            <w:tcW w:type="dxa" w:w="4500"/>
            <w:shd w:fill="F3EFE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 Catálogo Técnicas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b/>
                <w:bCs/>
                <w:sz w:val="18"/>
                <w:szCs w:val="18"/>
              </w:rPr>
              <w:t xml:space="preserve">/v1/povos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 Catálogo Povos</w:t>
            </w:r>
          </w:p>
        </w:tc>
      </w:tr>
      <w:tr>
        <w:tc>
          <w:tcPr>
            <w:tcW w:type="dxa" w:w="4500"/>
            <w:shd w:fill="F3EFE9" w:val="clear"/>
          </w:tcPr>
          <w:p>
            <w:r>
              <w:rPr>
                <w:b/>
                <w:bCs/>
                <w:sz w:val="18"/>
                <w:szCs w:val="18"/>
              </w:rPr>
              <w:t xml:space="preserve">/v1/territorios</w:t>
            </w:r>
          </w:p>
        </w:tc>
        <w:tc>
          <w:tcPr>
            <w:tcW w:type="dxa" w:w="4500"/>
            <w:shd w:fill="F3EFE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 Catálogo Territórios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b/>
                <w:bCs/>
                <w:sz w:val="18"/>
                <w:szCs w:val="18"/>
              </w:rPr>
              <w:t xml:space="preserve">/v1/patrimonio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6. Catálogo Patrimônio</w:t>
            </w:r>
          </w:p>
        </w:tc>
      </w:tr>
      <w:tr>
        <w:tc>
          <w:tcPr>
            <w:tcW w:type="dxa" w:w="4500"/>
            <w:shd w:fill="F3EFE9" w:val="clear"/>
          </w:tcPr>
          <w:p>
            <w:r>
              <w:rPr>
                <w:b/>
                <w:bCs/>
                <w:sz w:val="18"/>
                <w:szCs w:val="18"/>
              </w:rPr>
              <w:t xml:space="preserve">/v1/biomas</w:t>
            </w:r>
          </w:p>
        </w:tc>
        <w:tc>
          <w:tcPr>
            <w:tcW w:type="dxa" w:w="4500"/>
            <w:shd w:fill="F3EFE9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12. Catálogo Biomas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b/>
                <w:bCs/>
                <w:sz w:val="18"/>
                <w:szCs w:val="18"/>
              </w:rPr>
              <w:t xml:space="preserve">/v1/relacoes e endpoints de navegação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11. RELACOES</w:t>
            </w:r>
          </w:p>
        </w:tc>
      </w:tr>
    </w:tbl>
    <w:p>
      <w:pPr>
        <w:pStyle w:val="Heading1"/>
        <w:spacing w:after="200" w:before="400"/>
      </w:pPr>
      <w:r>
        <w:t xml:space="preserve">8. Considerações para Implementação Futura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Migrar de workbook Excel para banco relacional (PostgreSQL sugerido) ou banco de grafo nativo (Neo4j), com a Aba 11 (RELACOES) mapeando diretamente para uma tabela de arestas ou para relacionamentos nativos do grafo.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Implementar constraints de integridade referencial reais sobre origem_id/destino_id, validando o prefixo contra os 7 tipos de entidade.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Cache de leitura agressivo é apropriado — o corpus é atualizado por versão (v1.1, v1.2…), não em tempo real.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Ao implementar, unificar a numeração de REL_ID (ver pendência na Ata de Homologação) antes de expor rel_id como identificador estável na API pública.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2026-08-05T20:21:57.756Z</dcterms:created>
  <dcterms:modified xsi:type="dcterms:W3CDTF">2026-08-05T20:21:57.756Z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