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DF8DF" w14:textId="77777777" w:rsidR="00A62A8D" w:rsidRDefault="00B87409">
      <w:r>
        <w:rPr>
          <w:b/>
          <w:color w:val="C61410"/>
          <w:sz w:val="17"/>
        </w:rPr>
        <w:t>01   CULTURE   |   CAGE FRAMEWORK</w:t>
      </w:r>
    </w:p>
    <w:p w14:paraId="79F14F36" w14:textId="77777777" w:rsidR="00A62A8D" w:rsidRDefault="00B87409">
      <w:pPr>
        <w:pStyle w:val="Title"/>
      </w:pPr>
      <w:r>
        <w:t>CORSA Jakarta Culture</w:t>
      </w:r>
    </w:p>
    <w:p w14:paraId="3978C068" w14:textId="77777777" w:rsidR="00A62A8D" w:rsidRDefault="00B87409">
      <w:r>
        <w:t>Jakarta evidence supports coffee, healthier food and group activities as relevant habits. CORSA should adapt the food and social experience; demand for its complete concept still needs a local trial.</w:t>
      </w:r>
    </w:p>
    <w:p w14:paraId="687A1DEF" w14:textId="0AC499B3" w:rsidR="00A62A8D" w:rsidRPr="00B87409" w:rsidRDefault="00B87409">
      <w:pPr>
        <w:pStyle w:val="Heading1"/>
        <w:rPr>
          <w:sz w:val="36"/>
          <w:szCs w:val="36"/>
        </w:rPr>
      </w:pPr>
      <w:r w:rsidRPr="00B87409">
        <w:rPr>
          <w:sz w:val="36"/>
          <w:szCs w:val="36"/>
        </w:rPr>
        <w:t>How do customers use cafés</w:t>
      </w:r>
      <w:r>
        <w:rPr>
          <w:sz w:val="36"/>
          <w:szCs w:val="36"/>
        </w:rPr>
        <w:t>?</w:t>
      </w:r>
    </w:p>
    <w:p w14:paraId="2FDB56F5" w14:textId="77777777" w:rsidR="00A62A8D" w:rsidRDefault="00B87409">
      <w:pPr>
        <w:spacing w:after="60"/>
      </w:pPr>
      <w:r>
        <w:rPr>
          <w:noProof/>
        </w:rPr>
        <w:drawing>
          <wp:inline distT="0" distB="0" distL="0" distR="0" wp14:anchorId="379D5CBD" wp14:editId="2AFB931B">
            <wp:extent cx="6309360" cy="1969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fee.png"/>
                    <pic:cNvPicPr/>
                  </pic:nvPicPr>
                  <pic:blipFill>
                    <a:blip r:embed="rId8"/>
                    <a:stretch>
                      <a:fillRect/>
                    </a:stretch>
                  </pic:blipFill>
                  <pic:spPr>
                    <a:xfrm>
                      <a:off x="0" y="0"/>
                      <a:ext cx="6309360" cy="1969770"/>
                    </a:xfrm>
                    <a:prstGeom prst="rect">
                      <a:avLst/>
                    </a:prstGeom>
                  </pic:spPr>
                </pic:pic>
              </a:graphicData>
            </a:graphic>
          </wp:inline>
        </w:drawing>
      </w:r>
    </w:p>
    <w:p w14:paraId="0CA3B585" w14:textId="77777777" w:rsidR="00A62A8D" w:rsidRDefault="00B87409">
      <w:r>
        <w:rPr>
          <w:sz w:val="17"/>
        </w:rPr>
        <w:t>Jakpat 2025 • Indonesia coffee survey, n = 1,002. Responses are separate indicators, not shares of café visits.</w:t>
      </w:r>
    </w:p>
    <w:p w14:paraId="7F7771D9" w14:textId="77777777" w:rsidR="00A62A8D" w:rsidRDefault="00B87409">
      <w:r>
        <w:t>Provide space for friends and short working visits alongside takeaway service. A separate single-café study found 17 of 20 participants stayed one to four hours; that small sample confirms the behaviour exists, not a citywide average.</w:t>
      </w:r>
    </w:p>
    <w:p w14:paraId="24579D6D" w14:textId="77777777" w:rsidR="00A62A8D" w:rsidRDefault="00B87409">
      <w:pPr>
        <w:spacing w:after="120" w:line="240" w:lineRule="auto"/>
      </w:pPr>
      <w:r>
        <w:rPr>
          <w:b/>
          <w:sz w:val="16"/>
        </w:rPr>
        <w:t xml:space="preserve">Sources  </w:t>
      </w:r>
      <w:hyperlink r:id="rId9">
        <w:r>
          <w:rPr>
            <w:color w:val="C61410"/>
            <w:sz w:val="16"/>
          </w:rPr>
          <w:t>Jakpat wellness and coffee 2025</w:t>
        </w:r>
      </w:hyperlink>
      <w:r>
        <w:rPr>
          <w:sz w:val="16"/>
        </w:rPr>
        <w:t xml:space="preserve">  •  </w:t>
      </w:r>
      <w:hyperlink r:id="rId10">
        <w:r>
          <w:rPr>
            <w:color w:val="C61410"/>
            <w:sz w:val="16"/>
          </w:rPr>
          <w:t>BORDER third place study 2025</w:t>
        </w:r>
      </w:hyperlink>
    </w:p>
    <w:p w14:paraId="503F215C" w14:textId="33492372" w:rsidR="00A62A8D" w:rsidRPr="00B87409" w:rsidRDefault="00B87409">
      <w:pPr>
        <w:pStyle w:val="Heading1"/>
        <w:rPr>
          <w:sz w:val="36"/>
          <w:szCs w:val="36"/>
        </w:rPr>
      </w:pPr>
      <w:r w:rsidRPr="00B87409">
        <w:rPr>
          <w:sz w:val="36"/>
          <w:szCs w:val="36"/>
        </w:rPr>
        <w:t>Which audience has research support</w:t>
      </w:r>
      <w:r>
        <w:rPr>
          <w:sz w:val="36"/>
          <w:szCs w:val="36"/>
        </w:rPr>
        <w:t>?</w:t>
      </w:r>
    </w:p>
    <w:tbl>
      <w:tblPr>
        <w:tblW w:w="0" w:type="auto"/>
        <w:jc w:val="center"/>
        <w:tblLayout w:type="fixed"/>
        <w:tblLook w:val="04A0" w:firstRow="1" w:lastRow="0" w:firstColumn="1" w:lastColumn="0" w:noHBand="0" w:noVBand="1"/>
      </w:tblPr>
      <w:tblGrid>
        <w:gridCol w:w="2880"/>
        <w:gridCol w:w="3528"/>
        <w:gridCol w:w="3600"/>
      </w:tblGrid>
      <w:tr w:rsidR="00A62A8D" w14:paraId="6023547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E0001"/>
            <w:tcMar>
              <w:top w:w="85" w:type="dxa"/>
              <w:left w:w="85" w:type="dxa"/>
              <w:bottom w:w="85" w:type="dxa"/>
              <w:right w:w="85" w:type="dxa"/>
            </w:tcMar>
            <w:vAlign w:val="center"/>
          </w:tcPr>
          <w:p w14:paraId="20EF9A32" w14:textId="77777777" w:rsidR="00A62A8D" w:rsidRDefault="00B87409">
            <w:pPr>
              <w:spacing w:after="0"/>
            </w:pPr>
            <w:r>
              <w:rPr>
                <w:b/>
                <w:color w:val="FFFFFF"/>
                <w:sz w:val="19"/>
              </w:rPr>
              <w:t>Evidence</w:t>
            </w:r>
          </w:p>
        </w:tc>
        <w:tc>
          <w:tcPr>
            <w:tcW w:w="3528" w:type="dxa"/>
            <w:tcBorders>
              <w:top w:val="single" w:sz="4" w:space="0" w:color="D9D9D9"/>
              <w:left w:val="single" w:sz="4" w:space="0" w:color="D9D9D9"/>
              <w:bottom w:val="single" w:sz="4" w:space="0" w:color="D9D9D9"/>
              <w:right w:val="single" w:sz="4" w:space="0" w:color="D9D9D9"/>
            </w:tcBorders>
            <w:shd w:val="clear" w:color="auto" w:fill="2E0001"/>
            <w:tcMar>
              <w:top w:w="85" w:type="dxa"/>
              <w:left w:w="85" w:type="dxa"/>
              <w:bottom w:w="85" w:type="dxa"/>
              <w:right w:w="85" w:type="dxa"/>
            </w:tcMar>
            <w:vAlign w:val="center"/>
          </w:tcPr>
          <w:p w14:paraId="22FB267D" w14:textId="77777777" w:rsidR="00A62A8D" w:rsidRDefault="00B87409">
            <w:pPr>
              <w:spacing w:after="0"/>
            </w:pPr>
            <w:r>
              <w:rPr>
                <w:b/>
                <w:color w:val="FFFFFF"/>
                <w:sz w:val="19"/>
              </w:rPr>
              <w:t>What it supports</w:t>
            </w:r>
          </w:p>
        </w:tc>
        <w:tc>
          <w:tcPr>
            <w:tcW w:w="3600" w:type="dxa"/>
            <w:tcBorders>
              <w:top w:val="single" w:sz="4" w:space="0" w:color="D9D9D9"/>
              <w:left w:val="single" w:sz="4" w:space="0" w:color="D9D9D9"/>
              <w:bottom w:val="single" w:sz="4" w:space="0" w:color="D9D9D9"/>
              <w:right w:val="single" w:sz="4" w:space="0" w:color="D9D9D9"/>
            </w:tcBorders>
            <w:shd w:val="clear" w:color="auto" w:fill="2E0001"/>
            <w:tcMar>
              <w:top w:w="85" w:type="dxa"/>
              <w:left w:w="85" w:type="dxa"/>
              <w:bottom w:w="85" w:type="dxa"/>
              <w:right w:w="85" w:type="dxa"/>
            </w:tcMar>
            <w:vAlign w:val="center"/>
          </w:tcPr>
          <w:p w14:paraId="18005757" w14:textId="77777777" w:rsidR="00A62A8D" w:rsidRDefault="00B87409">
            <w:pPr>
              <w:spacing w:after="0"/>
            </w:pPr>
            <w:r>
              <w:rPr>
                <w:b/>
                <w:color w:val="FFFFFF"/>
                <w:sz w:val="19"/>
              </w:rPr>
              <w:t>What it cannot prove</w:t>
            </w:r>
          </w:p>
        </w:tc>
      </w:tr>
      <w:tr w:rsidR="00A62A8D" w14:paraId="1C97492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466CF582" w14:textId="77777777" w:rsidR="00A62A8D" w:rsidRDefault="00B87409">
            <w:pPr>
              <w:spacing w:after="0"/>
            </w:pPr>
            <w:r>
              <w:rPr>
                <w:sz w:val="19"/>
              </w:rPr>
              <w:t>IPB 2024</w:t>
            </w:r>
            <w:r>
              <w:rPr>
                <w:sz w:val="19"/>
              </w:rPr>
              <w:br/>
              <w:t>210 Jakarta Gen Z healthy-food buyers</w:t>
            </w:r>
          </w:p>
        </w:tc>
        <w:tc>
          <w:tcPr>
            <w:tcW w:w="3528"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5D135B9C" w14:textId="77777777" w:rsidR="00A62A8D" w:rsidRDefault="00B87409">
            <w:pPr>
              <w:spacing w:after="0"/>
            </w:pPr>
            <w:r>
              <w:rPr>
                <w:sz w:val="19"/>
              </w:rPr>
              <w:t>Health motivation and lifestyle were associated with purchasing.</w:t>
            </w:r>
          </w:p>
        </w:tc>
        <w:tc>
          <w:tcPr>
            <w:tcW w:w="3600"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4AAE5247" w14:textId="77777777" w:rsidR="00A62A8D" w:rsidRDefault="00B87409">
            <w:pPr>
              <w:spacing w:after="0"/>
            </w:pPr>
            <w:r>
              <w:rPr>
                <w:sz w:val="19"/>
              </w:rPr>
              <w:t>How many Jakarta residents want CORSA.</w:t>
            </w:r>
          </w:p>
        </w:tc>
      </w:tr>
      <w:tr w:rsidR="00A62A8D" w14:paraId="4F7BAB3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D60EF" w14:textId="77777777" w:rsidR="00A62A8D" w:rsidRPr="00B87409" w:rsidRDefault="00B87409">
            <w:pPr>
              <w:spacing w:after="0"/>
              <w:rPr>
                <w:lang w:val="fr-CH"/>
              </w:rPr>
            </w:pPr>
            <w:r w:rsidRPr="00B87409">
              <w:rPr>
                <w:sz w:val="19"/>
                <w:lang w:val="fr-CH"/>
              </w:rPr>
              <w:t>IPB journal 2024</w:t>
            </w:r>
            <w:r w:rsidRPr="00B87409">
              <w:rPr>
                <w:sz w:val="19"/>
                <w:lang w:val="fr-CH"/>
              </w:rPr>
              <w:br/>
              <w:t xml:space="preserve">146 DKI </w:t>
            </w:r>
            <w:proofErr w:type="spellStart"/>
            <w:r w:rsidRPr="00B87409">
              <w:rPr>
                <w:sz w:val="19"/>
                <w:lang w:val="fr-CH"/>
              </w:rPr>
              <w:t>Gen</w:t>
            </w:r>
            <w:proofErr w:type="spellEnd"/>
            <w:r w:rsidRPr="00B87409">
              <w:rPr>
                <w:sz w:val="19"/>
                <w:lang w:val="fr-CH"/>
              </w:rPr>
              <w:t xml:space="preserve"> Z </w:t>
            </w:r>
            <w:proofErr w:type="spellStart"/>
            <w:r w:rsidRPr="00B87409">
              <w:rPr>
                <w:sz w:val="19"/>
                <w:lang w:val="fr-CH"/>
              </w:rPr>
              <w:t>respondents</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CAAE2" w14:textId="77777777" w:rsidR="00A62A8D" w:rsidRDefault="00B87409">
            <w:pPr>
              <w:spacing w:after="0"/>
            </w:pPr>
            <w:r>
              <w:rPr>
                <w:sz w:val="19"/>
              </w:rPr>
              <w:t>Lifestyle and brand image were associated with coffee purchases.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475E4" w14:textId="77777777" w:rsidR="00A62A8D" w:rsidRDefault="00B87409">
            <w:pPr>
              <w:spacing w:after="0"/>
            </w:pPr>
            <w:r>
              <w:rPr>
                <w:sz w:val="19"/>
              </w:rPr>
              <w:t>That a racing identity causes repeat visits.</w:t>
            </w:r>
          </w:p>
        </w:tc>
      </w:tr>
    </w:tbl>
    <w:p w14:paraId="5663E200" w14:textId="77777777" w:rsidR="00A62A8D" w:rsidRDefault="00A62A8D">
      <w:pPr>
        <w:spacing w:after="0"/>
      </w:pPr>
    </w:p>
    <w:p w14:paraId="50E1FA5B" w14:textId="77777777" w:rsidR="00A62A8D" w:rsidRPr="00B87409" w:rsidRDefault="00B87409">
      <w:pPr>
        <w:rPr>
          <w:color w:val="auto"/>
        </w:rPr>
      </w:pPr>
      <w:r w:rsidRPr="00B87409">
        <w:rPr>
          <w:color w:val="auto"/>
        </w:rPr>
        <w:t>Recruit people who already buy café meals and healthier food. Young professionals and active communities are useful starting groups; their spending and concept preference must be measured.</w:t>
      </w:r>
    </w:p>
    <w:p w14:paraId="084E6588" w14:textId="77777777" w:rsidR="00A62A8D" w:rsidRDefault="00B87409">
      <w:pPr>
        <w:spacing w:after="120" w:line="240" w:lineRule="auto"/>
      </w:pPr>
      <w:r>
        <w:rPr>
          <w:b/>
          <w:sz w:val="16"/>
        </w:rPr>
        <w:t xml:space="preserve">Sources  </w:t>
      </w:r>
      <w:hyperlink r:id="rId11">
        <w:r>
          <w:rPr>
            <w:color w:val="C61410"/>
            <w:sz w:val="16"/>
          </w:rPr>
          <w:t>IPB healthy food thesis</w:t>
        </w:r>
      </w:hyperlink>
      <w:r>
        <w:rPr>
          <w:sz w:val="16"/>
        </w:rPr>
        <w:t xml:space="preserve">  •  </w:t>
      </w:r>
      <w:hyperlink r:id="rId12">
        <w:r>
          <w:rPr>
            <w:color w:val="C61410"/>
            <w:sz w:val="16"/>
          </w:rPr>
          <w:t>IPB lifestyle and coffee study</w:t>
        </w:r>
      </w:hyperlink>
    </w:p>
    <w:p w14:paraId="4299B82C" w14:textId="77777777" w:rsidR="00A62A8D" w:rsidRDefault="00B87409">
      <w:pPr>
        <w:rPr>
          <w:sz w:val="17"/>
        </w:rPr>
      </w:pPr>
      <w:r>
        <w:rPr>
          <w:sz w:val="17"/>
        </w:rPr>
        <w:t>Charts redraw source data; they are not sales forecasts.</w:t>
      </w:r>
    </w:p>
    <w:p w14:paraId="1D496C75" w14:textId="77777777" w:rsidR="00B87409" w:rsidRDefault="00B87409"/>
    <w:p w14:paraId="1E3B3871" w14:textId="17E1A7D4" w:rsidR="00A62A8D" w:rsidRPr="00B87409" w:rsidRDefault="00B87409">
      <w:pPr>
        <w:pStyle w:val="Heading1"/>
        <w:rPr>
          <w:sz w:val="36"/>
          <w:szCs w:val="36"/>
        </w:rPr>
      </w:pPr>
      <w:r w:rsidRPr="00B87409">
        <w:rPr>
          <w:sz w:val="36"/>
          <w:szCs w:val="36"/>
        </w:rPr>
        <w:t>What do restaurant reviews suggest</w:t>
      </w:r>
      <w:r>
        <w:rPr>
          <w:sz w:val="36"/>
          <w:szCs w:val="36"/>
        </w:rPr>
        <w:t>?</w:t>
      </w:r>
    </w:p>
    <w:p w14:paraId="60F11353" w14:textId="77777777" w:rsidR="00A62A8D" w:rsidRDefault="00B87409">
      <w:r>
        <w:rPr>
          <w:sz w:val="19"/>
        </w:rPr>
        <w:t>Tiago analysed 3,061 Google reviews of 36 Jakarta Italian and pasta restaurants, collected on 24 September 2026. Flavour and slow service emerged as critical themes. For CORSA, test the actual recipes and portions, and time ordering and meal delivery during a trial.</w:t>
      </w:r>
    </w:p>
    <w:p w14:paraId="1B7F53E9" w14:textId="77777777" w:rsidR="00A62A8D" w:rsidRDefault="00B87409">
      <w:r>
        <w:rPr>
          <w:sz w:val="18"/>
        </w:rPr>
        <w:t>These are self-selected reviews, not a representative customer survey. The underlying reviews and coding were not supplied, so use the themes as testing priorities rather than population complaint rates.</w:t>
      </w:r>
    </w:p>
    <w:p w14:paraId="7EC2D5AD" w14:textId="77777777" w:rsidR="00A62A8D" w:rsidRDefault="00B87409">
      <w:pPr>
        <w:rPr>
          <w:sz w:val="17"/>
        </w:rPr>
      </w:pPr>
      <w:r>
        <w:rPr>
          <w:sz w:val="17"/>
        </w:rPr>
        <w:t xml:space="preserve">Source: Tiago Reimann, Customer Behaviour Extended Data, pp 4 and 9; dataset reference 29 on p 11. Supplied team </w:t>
      </w:r>
      <w:proofErr w:type="gramStart"/>
      <w:r>
        <w:rPr>
          <w:sz w:val="17"/>
        </w:rPr>
        <w:t>report;</w:t>
      </w:r>
      <w:proofErr w:type="gramEnd"/>
      <w:r>
        <w:rPr>
          <w:sz w:val="17"/>
        </w:rPr>
        <w:t xml:space="preserve"> no public dataset link.</w:t>
      </w:r>
    </w:p>
    <w:p w14:paraId="3A1AE0CE" w14:textId="77777777" w:rsidR="00B87409" w:rsidRDefault="00B87409"/>
    <w:p w14:paraId="138C4B5B" w14:textId="46F03A92" w:rsidR="00A62A8D" w:rsidRPr="00B87409" w:rsidRDefault="00B87409">
      <w:pPr>
        <w:pStyle w:val="Heading1"/>
        <w:rPr>
          <w:sz w:val="36"/>
          <w:szCs w:val="36"/>
        </w:rPr>
      </w:pPr>
      <w:r w:rsidRPr="00B87409">
        <w:rPr>
          <w:sz w:val="36"/>
          <w:szCs w:val="36"/>
        </w:rPr>
        <w:t>How could Ramadan change visit patterns</w:t>
      </w:r>
      <w:r>
        <w:rPr>
          <w:sz w:val="36"/>
          <w:szCs w:val="36"/>
        </w:rPr>
        <w:t>?</w:t>
      </w:r>
    </w:p>
    <w:p w14:paraId="08339F21" w14:textId="77777777" w:rsidR="00A62A8D" w:rsidRDefault="00B87409">
      <w:r>
        <w:rPr>
          <w:sz w:val="19"/>
        </w:rPr>
        <w:t>Tiago flags Ramadan as a period to investigate different opening hours and group dining. Ask local customers about evening meals when breaking the fast, takeaway timing and group orders. Test staffing and service around those occasions; do not assume every customer fasts or that Ramadan automatically increases sales.</w:t>
      </w:r>
    </w:p>
    <w:p w14:paraId="3F6C69E3" w14:textId="77777777" w:rsidR="00A62A8D" w:rsidRDefault="00B87409">
      <w:r>
        <w:rPr>
          <w:sz w:val="17"/>
        </w:rPr>
        <w:lastRenderedPageBreak/>
        <w:t>Source: Tiago Reimann, Customer Behaviour Extended Data, pp 3, 7 and 9. These are questions for local validation, not a CORSA demand forecast.</w:t>
      </w:r>
    </w:p>
    <w:p w14:paraId="3D270C72" w14:textId="342F044C" w:rsidR="00A62A8D" w:rsidRDefault="00A62A8D"/>
    <w:p w14:paraId="1E15493B" w14:textId="77777777" w:rsidR="00A62A8D" w:rsidRDefault="00B87409">
      <w:r>
        <w:rPr>
          <w:b/>
          <w:color w:val="C61410"/>
          <w:sz w:val="17"/>
        </w:rPr>
        <w:t>02   IMPLICATIONS FOR CORSA</w:t>
      </w:r>
    </w:p>
    <w:p w14:paraId="31A731C7" w14:textId="0567DAF6" w:rsidR="00A62A8D" w:rsidRPr="00B87409" w:rsidRDefault="00B87409">
      <w:pPr>
        <w:pStyle w:val="Title"/>
        <w:rPr>
          <w:sz w:val="36"/>
          <w:szCs w:val="36"/>
        </w:rPr>
      </w:pPr>
      <w:r w:rsidRPr="00B87409">
        <w:rPr>
          <w:sz w:val="36"/>
          <w:szCs w:val="36"/>
        </w:rPr>
        <w:t>What should CORSA adapt</w:t>
      </w:r>
      <w:r>
        <w:rPr>
          <w:sz w:val="36"/>
          <w:szCs w:val="36"/>
        </w:rPr>
        <w:t>?</w:t>
      </w:r>
    </w:p>
    <w:p w14:paraId="762D74DC" w14:textId="77777777" w:rsidR="00A62A8D" w:rsidRPr="00B87409" w:rsidRDefault="00B87409">
      <w:pPr>
        <w:rPr>
          <w:color w:val="auto"/>
        </w:rPr>
      </w:pPr>
      <w:r w:rsidRPr="00B87409">
        <w:rPr>
          <w:color w:val="auto"/>
        </w:rPr>
        <w:t>Keep the Italian lifestyle identity while making taste, fillingness and halal status clear. The East Jakarta halal study (n = 100) linked certification with purchase intention; it does not show how many customers would reject CORSA. Halal assurance does not require religious brand positioning.</w:t>
      </w:r>
    </w:p>
    <w:p w14:paraId="48E90665" w14:textId="77777777" w:rsidR="00A62A8D" w:rsidRPr="00B87409" w:rsidRDefault="00B87409">
      <w:pPr>
        <w:rPr>
          <w:color w:val="auto"/>
        </w:rPr>
      </w:pPr>
      <w:r w:rsidRPr="00B87409">
        <w:rPr>
          <w:color w:val="auto"/>
        </w:rPr>
        <w:t>Do not assume a small halal kitchen corner is sufficient. LPPOM describes dedicated restaurant facilities and storage; the operational choices are explained in Administrative.</w:t>
      </w:r>
    </w:p>
    <w:p w14:paraId="2EA72EE1" w14:textId="77777777" w:rsidR="00A62A8D" w:rsidRDefault="00B87409">
      <w:pPr>
        <w:spacing w:after="120" w:line="240" w:lineRule="auto"/>
      </w:pPr>
      <w:r>
        <w:rPr>
          <w:b/>
          <w:sz w:val="16"/>
        </w:rPr>
        <w:t xml:space="preserve">Sources  </w:t>
      </w:r>
      <w:hyperlink r:id="rId13">
        <w:r>
          <w:rPr>
            <w:color w:val="C61410"/>
            <w:sz w:val="16"/>
          </w:rPr>
          <w:t>Syarikat halal study 2025</w:t>
        </w:r>
      </w:hyperlink>
      <w:r>
        <w:rPr>
          <w:sz w:val="16"/>
        </w:rPr>
        <w:t xml:space="preserve">  •  </w:t>
      </w:r>
      <w:hyperlink r:id="rId14">
        <w:r>
          <w:rPr>
            <w:color w:val="C61410"/>
            <w:sz w:val="16"/>
          </w:rPr>
          <w:t>LPPOM restaurant facility rules</w:t>
        </w:r>
      </w:hyperlink>
    </w:p>
    <w:p w14:paraId="7767F327" w14:textId="77777777" w:rsidR="00B87409" w:rsidRDefault="00B87409">
      <w:pPr>
        <w:spacing w:after="120" w:line="240" w:lineRule="auto"/>
      </w:pPr>
    </w:p>
    <w:p w14:paraId="5EBE2D93" w14:textId="69E8072B" w:rsidR="00A62A8D" w:rsidRPr="00B87409" w:rsidRDefault="00B87409">
      <w:pPr>
        <w:pStyle w:val="Heading1"/>
        <w:rPr>
          <w:sz w:val="36"/>
          <w:szCs w:val="36"/>
        </w:rPr>
      </w:pPr>
      <w:r w:rsidRPr="00B87409">
        <w:rPr>
          <w:sz w:val="36"/>
          <w:szCs w:val="36"/>
        </w:rPr>
        <w:t>Does a café and running community already exist</w:t>
      </w:r>
      <w:r>
        <w:rPr>
          <w:sz w:val="36"/>
          <w:szCs w:val="36"/>
        </w:rPr>
        <w:t>?</w:t>
      </w:r>
    </w:p>
    <w:p w14:paraId="40E75750" w14:textId="77777777" w:rsidR="00A62A8D" w:rsidRDefault="00B87409">
      <w:pPr>
        <w:spacing w:after="60"/>
      </w:pPr>
      <w:r>
        <w:rPr>
          <w:noProof/>
        </w:rPr>
        <w:drawing>
          <wp:inline distT="0" distB="0" distL="0" distR="0" wp14:anchorId="1047417D" wp14:editId="18A80140">
            <wp:extent cx="6309360" cy="1443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png"/>
                    <pic:cNvPicPr/>
                  </pic:nvPicPr>
                  <pic:blipFill>
                    <a:blip r:embed="rId15"/>
                    <a:stretch>
                      <a:fillRect/>
                    </a:stretch>
                  </pic:blipFill>
                  <pic:spPr>
                    <a:xfrm>
                      <a:off x="0" y="0"/>
                      <a:ext cx="6309360" cy="1443990"/>
                    </a:xfrm>
                    <a:prstGeom prst="rect">
                      <a:avLst/>
                    </a:prstGeom>
                  </pic:spPr>
                </pic:pic>
              </a:graphicData>
            </a:graphic>
          </wp:inline>
        </w:drawing>
      </w:r>
    </w:p>
    <w:p w14:paraId="060D7C05" w14:textId="77777777" w:rsidR="00A62A8D" w:rsidRPr="00B87409" w:rsidRDefault="00B87409">
      <w:pPr>
        <w:rPr>
          <w:color w:val="auto"/>
        </w:rPr>
      </w:pPr>
      <w:r w:rsidRPr="00B87409">
        <w:rPr>
          <w:color w:val="auto"/>
        </w:rPr>
        <w:t>IKPI documents an actual return to Gudda for breakfast after the run. This confirms the food-and-activity occasion. Gudda and Kopi Sana are also reported as running-group gathering places; no source establishes CORSA’s likely sales.</w:t>
      </w:r>
    </w:p>
    <w:p w14:paraId="4E5B8B21" w14:textId="77777777" w:rsidR="00A62A8D" w:rsidRDefault="00B87409">
      <w:pPr>
        <w:spacing w:after="120" w:line="240" w:lineRule="auto"/>
      </w:pPr>
      <w:r>
        <w:rPr>
          <w:b/>
          <w:sz w:val="16"/>
        </w:rPr>
        <w:t xml:space="preserve">Sources  </w:t>
      </w:r>
      <w:hyperlink r:id="rId16">
        <w:r>
          <w:rPr>
            <w:color w:val="C61410"/>
            <w:sz w:val="16"/>
          </w:rPr>
          <w:t>IKPI run and breakfast 2025</w:t>
        </w:r>
      </w:hyperlink>
      <w:r>
        <w:rPr>
          <w:sz w:val="16"/>
        </w:rPr>
        <w:t xml:space="preserve">  •  </w:t>
      </w:r>
      <w:hyperlink r:id="rId17">
        <w:r>
          <w:rPr>
            <w:color w:val="C61410"/>
            <w:sz w:val="16"/>
          </w:rPr>
          <w:t>The Coffee Run 2025</w:t>
        </w:r>
      </w:hyperlink>
    </w:p>
    <w:p w14:paraId="3B7C2F34" w14:textId="77777777" w:rsidR="00B87409" w:rsidRDefault="00B87409">
      <w:pPr>
        <w:spacing w:after="120" w:line="240" w:lineRule="auto"/>
      </w:pPr>
    </w:p>
    <w:p w14:paraId="28F55D7C" w14:textId="544BF0B5" w:rsidR="00A62A8D" w:rsidRPr="00B87409" w:rsidRDefault="00B87409">
      <w:pPr>
        <w:pStyle w:val="Heading1"/>
        <w:rPr>
          <w:sz w:val="36"/>
          <w:szCs w:val="36"/>
        </w:rPr>
      </w:pPr>
      <w:r w:rsidRPr="00B87409">
        <w:rPr>
          <w:sz w:val="36"/>
          <w:szCs w:val="36"/>
        </w:rPr>
        <w:t>Which concepts provide useful comparisons</w:t>
      </w:r>
      <w:r>
        <w:rPr>
          <w:sz w:val="36"/>
          <w:szCs w:val="36"/>
        </w:rPr>
        <w:t>?</w:t>
      </w:r>
    </w:p>
    <w:tbl>
      <w:tblPr>
        <w:tblW w:w="0" w:type="auto"/>
        <w:jc w:val="center"/>
        <w:tblLayout w:type="fixed"/>
        <w:tblLook w:val="04A0" w:firstRow="1" w:lastRow="0" w:firstColumn="1" w:lastColumn="0" w:noHBand="0" w:noVBand="1"/>
      </w:tblPr>
      <w:tblGrid>
        <w:gridCol w:w="2952"/>
        <w:gridCol w:w="3312"/>
        <w:gridCol w:w="3744"/>
      </w:tblGrid>
      <w:tr w:rsidR="00A62A8D" w14:paraId="58A32CA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2E0001"/>
            <w:tcMar>
              <w:top w:w="85" w:type="dxa"/>
              <w:left w:w="85" w:type="dxa"/>
              <w:bottom w:w="85" w:type="dxa"/>
              <w:right w:w="85" w:type="dxa"/>
            </w:tcMar>
            <w:vAlign w:val="center"/>
          </w:tcPr>
          <w:p w14:paraId="6810387C" w14:textId="77777777" w:rsidR="00A62A8D" w:rsidRDefault="00B87409">
            <w:pPr>
              <w:spacing w:after="0"/>
            </w:pPr>
            <w:r>
              <w:rPr>
                <w:b/>
                <w:color w:val="FFFFFF"/>
                <w:sz w:val="19"/>
              </w:rPr>
              <w:t>Comparable</w:t>
            </w:r>
          </w:p>
        </w:tc>
        <w:tc>
          <w:tcPr>
            <w:tcW w:w="3312" w:type="dxa"/>
            <w:tcBorders>
              <w:top w:val="single" w:sz="4" w:space="0" w:color="D9D9D9"/>
              <w:left w:val="single" w:sz="4" w:space="0" w:color="D9D9D9"/>
              <w:bottom w:val="single" w:sz="4" w:space="0" w:color="D9D9D9"/>
              <w:right w:val="single" w:sz="4" w:space="0" w:color="D9D9D9"/>
            </w:tcBorders>
            <w:shd w:val="clear" w:color="auto" w:fill="2E0001"/>
            <w:tcMar>
              <w:top w:w="85" w:type="dxa"/>
              <w:left w:w="85" w:type="dxa"/>
              <w:bottom w:w="85" w:type="dxa"/>
              <w:right w:w="85" w:type="dxa"/>
            </w:tcMar>
            <w:vAlign w:val="center"/>
          </w:tcPr>
          <w:p w14:paraId="5153D01A" w14:textId="77777777" w:rsidR="00A62A8D" w:rsidRDefault="00B87409">
            <w:pPr>
              <w:spacing w:after="0"/>
            </w:pPr>
            <w:r>
              <w:rPr>
                <w:b/>
                <w:color w:val="FFFFFF"/>
                <w:sz w:val="19"/>
              </w:rPr>
              <w:t>Relevant offer</w:t>
            </w:r>
          </w:p>
        </w:tc>
        <w:tc>
          <w:tcPr>
            <w:tcW w:w="3744" w:type="dxa"/>
            <w:tcBorders>
              <w:top w:val="single" w:sz="4" w:space="0" w:color="D9D9D9"/>
              <w:left w:val="single" w:sz="4" w:space="0" w:color="D9D9D9"/>
              <w:bottom w:val="single" w:sz="4" w:space="0" w:color="D9D9D9"/>
              <w:right w:val="single" w:sz="4" w:space="0" w:color="D9D9D9"/>
            </w:tcBorders>
            <w:shd w:val="clear" w:color="auto" w:fill="2E0001"/>
            <w:tcMar>
              <w:top w:w="85" w:type="dxa"/>
              <w:left w:w="85" w:type="dxa"/>
              <w:bottom w:w="85" w:type="dxa"/>
              <w:right w:w="85" w:type="dxa"/>
            </w:tcMar>
            <w:vAlign w:val="center"/>
          </w:tcPr>
          <w:p w14:paraId="1763543B" w14:textId="77777777" w:rsidR="00A62A8D" w:rsidRDefault="00B87409">
            <w:pPr>
              <w:spacing w:after="0"/>
            </w:pPr>
            <w:r>
              <w:rPr>
                <w:b/>
                <w:color w:val="FFFFFF"/>
                <w:sz w:val="19"/>
              </w:rPr>
              <w:t>Lesson for CORSA</w:t>
            </w:r>
          </w:p>
        </w:tc>
      </w:tr>
      <w:tr w:rsidR="00A62A8D" w14:paraId="0981377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06F4FEFA" w14:textId="77777777" w:rsidR="00A62A8D" w:rsidRDefault="00B87409">
            <w:pPr>
              <w:spacing w:after="0"/>
            </w:pPr>
            <w:r>
              <w:rPr>
                <w:sz w:val="19"/>
              </w:rPr>
              <w:t>Common Grounds and Pison</w:t>
            </w:r>
          </w:p>
        </w:tc>
        <w:tc>
          <w:tcPr>
            <w:tcW w:w="3312"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7FE67D68" w14:textId="77777777" w:rsidR="00A62A8D" w:rsidRDefault="00B87409">
            <w:pPr>
              <w:spacing w:after="0"/>
            </w:pPr>
            <w:r>
              <w:rPr>
                <w:sz w:val="19"/>
              </w:rPr>
              <w:t>Coffee and café meals</w:t>
            </w:r>
          </w:p>
        </w:tc>
        <w:tc>
          <w:tcPr>
            <w:tcW w:w="3744"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4865EEA6" w14:textId="77777777" w:rsidR="00A62A8D" w:rsidRDefault="00B87409">
            <w:pPr>
              <w:spacing w:after="0"/>
            </w:pPr>
            <w:r>
              <w:rPr>
                <w:sz w:val="19"/>
              </w:rPr>
              <w:t>Food and atmosphere already compete for visits.</w:t>
            </w:r>
          </w:p>
        </w:tc>
      </w:tr>
      <w:tr w:rsidR="00A62A8D" w14:paraId="75DDF21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A8071" w14:textId="77777777" w:rsidR="00A62A8D" w:rsidRDefault="00B87409">
            <w:pPr>
              <w:spacing w:after="0"/>
            </w:pPr>
            <w:r>
              <w:rPr>
                <w:sz w:val="19"/>
              </w:rPr>
              <w:t>SaladStop and Burgreens</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E3437" w14:textId="77777777" w:rsidR="00A62A8D" w:rsidRDefault="00B87409">
            <w:pPr>
              <w:spacing w:after="0"/>
            </w:pPr>
            <w:r>
              <w:rPr>
                <w:sz w:val="19"/>
              </w:rPr>
              <w:t>Salads and plant-based food</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5C832" w14:textId="77777777" w:rsidR="00A62A8D" w:rsidRDefault="00B87409">
            <w:pPr>
              <w:spacing w:after="0"/>
            </w:pPr>
            <w:r>
              <w:rPr>
                <w:sz w:val="19"/>
              </w:rPr>
              <w:t>Health positioning alone is not distinctive.</w:t>
            </w:r>
          </w:p>
        </w:tc>
      </w:tr>
      <w:tr w:rsidR="00A62A8D" w14:paraId="74563BE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5E9C5017" w14:textId="77777777" w:rsidR="00A62A8D" w:rsidRDefault="00B87409">
            <w:pPr>
              <w:spacing w:after="0"/>
            </w:pPr>
            <w:r>
              <w:rPr>
                <w:sz w:val="19"/>
              </w:rPr>
              <w:t>HONU</w:t>
            </w:r>
          </w:p>
        </w:tc>
        <w:tc>
          <w:tcPr>
            <w:tcW w:w="3312"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2DB95AFF" w14:textId="77777777" w:rsidR="00A62A8D" w:rsidRDefault="00B87409">
            <w:pPr>
              <w:spacing w:after="0"/>
            </w:pPr>
            <w:r>
              <w:rPr>
                <w:sz w:val="19"/>
              </w:rPr>
              <w:t>Bowls and matcha</w:t>
            </w:r>
          </w:p>
        </w:tc>
        <w:tc>
          <w:tcPr>
            <w:tcW w:w="3744"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3AE4BDE8" w14:textId="77777777" w:rsidR="00A62A8D" w:rsidRDefault="00B87409">
            <w:pPr>
              <w:spacing w:after="0"/>
            </w:pPr>
            <w:r>
              <w:rPr>
                <w:sz w:val="19"/>
              </w:rPr>
              <w:t>Compare taste, portions and meal occasions.</w:t>
            </w:r>
          </w:p>
        </w:tc>
      </w:tr>
    </w:tbl>
    <w:p w14:paraId="2B441556" w14:textId="77777777" w:rsidR="00A62A8D" w:rsidRDefault="00A62A8D">
      <w:pPr>
        <w:spacing w:after="0"/>
      </w:pPr>
    </w:p>
    <w:p w14:paraId="6DF33B9D" w14:textId="77777777" w:rsidR="00A62A8D" w:rsidRDefault="00B87409">
      <w:pPr>
        <w:spacing w:after="60"/>
      </w:pPr>
      <w:r>
        <w:rPr>
          <w:noProof/>
        </w:rPr>
        <w:drawing>
          <wp:inline distT="0" distB="0" distL="0" distR="0" wp14:anchorId="0044A781" wp14:editId="64DABCA1">
            <wp:extent cx="5760720" cy="1318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_test.png"/>
                    <pic:cNvPicPr/>
                  </pic:nvPicPr>
                  <pic:blipFill>
                    <a:blip r:embed="rId18"/>
                    <a:stretch>
                      <a:fillRect/>
                    </a:stretch>
                  </pic:blipFill>
                  <pic:spPr>
                    <a:xfrm>
                      <a:off x="0" y="0"/>
                      <a:ext cx="5760720" cy="1318426"/>
                    </a:xfrm>
                    <a:prstGeom prst="rect">
                      <a:avLst/>
                    </a:prstGeom>
                  </pic:spPr>
                </pic:pic>
              </a:graphicData>
            </a:graphic>
          </wp:inline>
        </w:drawing>
      </w:r>
    </w:p>
    <w:p w14:paraId="2742D8CB" w14:textId="77777777" w:rsidR="00A62A8D" w:rsidRDefault="00B87409">
      <w:r>
        <w:rPr>
          <w:sz w:val="18"/>
        </w:rPr>
        <w:t>Rice consumption does not establish rejection of pasta. Select menu adaptations from actual tasting responses.</w:t>
      </w:r>
    </w:p>
    <w:p w14:paraId="4A83A6A8" w14:textId="77777777" w:rsidR="00A62A8D" w:rsidRDefault="00B87409">
      <w:pPr>
        <w:spacing w:after="120" w:line="240" w:lineRule="auto"/>
      </w:pPr>
      <w:r>
        <w:rPr>
          <w:b/>
          <w:sz w:val="16"/>
        </w:rPr>
        <w:t xml:space="preserve">Sources  </w:t>
      </w:r>
      <w:hyperlink r:id="rId19">
        <w:r>
          <w:rPr>
            <w:color w:val="C61410"/>
            <w:sz w:val="16"/>
          </w:rPr>
          <w:t>Common Grounds</w:t>
        </w:r>
      </w:hyperlink>
      <w:r>
        <w:rPr>
          <w:sz w:val="16"/>
        </w:rPr>
        <w:t xml:space="preserve">  •  </w:t>
      </w:r>
      <w:hyperlink r:id="rId20">
        <w:r>
          <w:rPr>
            <w:color w:val="C61410"/>
            <w:sz w:val="16"/>
          </w:rPr>
          <w:t>Pison</w:t>
        </w:r>
      </w:hyperlink>
      <w:r>
        <w:rPr>
          <w:sz w:val="16"/>
        </w:rPr>
        <w:t xml:space="preserve">  •  </w:t>
      </w:r>
      <w:hyperlink r:id="rId21">
        <w:r>
          <w:rPr>
            <w:color w:val="C61410"/>
            <w:sz w:val="16"/>
          </w:rPr>
          <w:t>SaladStop</w:t>
        </w:r>
      </w:hyperlink>
      <w:r>
        <w:rPr>
          <w:sz w:val="16"/>
        </w:rPr>
        <w:t xml:space="preserve">  •  </w:t>
      </w:r>
      <w:hyperlink r:id="rId22">
        <w:r>
          <w:rPr>
            <w:color w:val="C61410"/>
            <w:sz w:val="16"/>
          </w:rPr>
          <w:t>Burgreens</w:t>
        </w:r>
      </w:hyperlink>
      <w:r>
        <w:rPr>
          <w:sz w:val="16"/>
        </w:rPr>
        <w:t xml:space="preserve">  •  </w:t>
      </w:r>
      <w:hyperlink r:id="rId23">
        <w:r>
          <w:rPr>
            <w:color w:val="C61410"/>
            <w:sz w:val="16"/>
          </w:rPr>
          <w:t>HONU</w:t>
        </w:r>
      </w:hyperlink>
      <w:r>
        <w:rPr>
          <w:sz w:val="16"/>
        </w:rPr>
        <w:t xml:space="preserve">  •  </w:t>
      </w:r>
      <w:hyperlink r:id="rId24">
        <w:r>
          <w:rPr>
            <w:color w:val="C61410"/>
            <w:sz w:val="16"/>
          </w:rPr>
          <w:t>Cipete café thesis</w:t>
        </w:r>
      </w:hyperlink>
    </w:p>
    <w:sectPr w:rsidR="00A62A8D" w:rsidSect="00034616">
      <w:headerReference w:type="default" r:id="rId25"/>
      <w:footerReference w:type="default" r:id="rId26"/>
      <w:pgSz w:w="11909" w:h="16834"/>
      <w:pgMar w:top="979" w:right="792" w:bottom="792" w:left="792"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6D5BE" w14:textId="77777777" w:rsidR="00B87409" w:rsidRDefault="00B87409">
      <w:pPr>
        <w:spacing w:after="0" w:line="240" w:lineRule="auto"/>
      </w:pPr>
      <w:r>
        <w:separator/>
      </w:r>
    </w:p>
  </w:endnote>
  <w:endnote w:type="continuationSeparator" w:id="0">
    <w:p w14:paraId="61B562B9" w14:textId="77777777" w:rsidR="00B87409" w:rsidRDefault="00B87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FC1D" w14:textId="20A29FFE" w:rsidR="00A62A8D" w:rsidRPr="001E1E31" w:rsidRDefault="00B87409">
    <w:pPr>
      <w:pStyle w:val="Footer"/>
      <w:rPr>
        <w:lang w:val="it-CH"/>
      </w:rPr>
    </w:pPr>
    <w:r w:rsidRPr="001E1E31">
      <w:rPr>
        <w:sz w:val="16"/>
        <w:lang w:val="it-CH"/>
      </w:rPr>
      <w:t xml:space="preserve">CORSA x HSG Capstone  |  Culture  |  Matthieu  |  </w:t>
    </w:r>
    <w:r>
      <w:fldChar w:fldCharType="begin"/>
    </w:r>
    <w:r w:rsidRPr="001E1E31">
      <w:rPr>
        <w:lang w:val="it-CH"/>
      </w:rPr>
      <w:instrText>PAGE</w:instrText>
    </w:r>
    <w:r>
      <w:fldChar w:fldCharType="separate"/>
    </w:r>
    <w:r w:rsidRPr="001E1E31">
      <w:rPr>
        <w:noProof/>
        <w:lang w:val="it-CH"/>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6F002" w14:textId="77777777" w:rsidR="00B87409" w:rsidRDefault="00B87409">
      <w:pPr>
        <w:spacing w:after="0" w:line="240" w:lineRule="auto"/>
      </w:pPr>
      <w:r>
        <w:separator/>
      </w:r>
    </w:p>
  </w:footnote>
  <w:footnote w:type="continuationSeparator" w:id="0">
    <w:p w14:paraId="1E20767E" w14:textId="77777777" w:rsidR="00B87409" w:rsidRDefault="00B87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E477" w14:textId="77777777" w:rsidR="00A62A8D" w:rsidRDefault="00B87409">
    <w:pPr>
      <w:pStyle w:val="Header"/>
      <w:pBdr>
        <w:top w:val="single" w:sz="12" w:space="3" w:color="C61410"/>
      </w:pBdr>
      <w:jc w:val="right"/>
    </w:pPr>
    <w:r>
      <w:rPr>
        <w:noProof/>
      </w:rPr>
      <w:drawing>
        <wp:inline distT="0" distB="0" distL="0" distR="0" wp14:anchorId="394FAAD0" wp14:editId="4058B053">
          <wp:extent cx="960120" cy="285441"/>
          <wp:effectExtent l="0" t="0" r="0" b="0"/>
          <wp:docPr id="910818610" name="Picture 91081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white.png"/>
                  <pic:cNvPicPr/>
                </pic:nvPicPr>
                <pic:blipFill>
                  <a:blip r:embed="rId1"/>
                  <a:stretch>
                    <a:fillRect/>
                  </a:stretch>
                </pic:blipFill>
                <pic:spPr>
                  <a:xfrm>
                    <a:off x="0" y="0"/>
                    <a:ext cx="960120" cy="2854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303092">
    <w:abstractNumId w:val="8"/>
  </w:num>
  <w:num w:numId="2" w16cid:durableId="1821657625">
    <w:abstractNumId w:val="6"/>
  </w:num>
  <w:num w:numId="3" w16cid:durableId="667101388">
    <w:abstractNumId w:val="5"/>
  </w:num>
  <w:num w:numId="4" w16cid:durableId="1820882285">
    <w:abstractNumId w:val="4"/>
  </w:num>
  <w:num w:numId="5" w16cid:durableId="1270308531">
    <w:abstractNumId w:val="7"/>
  </w:num>
  <w:num w:numId="6" w16cid:durableId="2122869858">
    <w:abstractNumId w:val="3"/>
  </w:num>
  <w:num w:numId="7" w16cid:durableId="1453358993">
    <w:abstractNumId w:val="2"/>
  </w:num>
  <w:num w:numId="8" w16cid:durableId="1909807989">
    <w:abstractNumId w:val="1"/>
  </w:num>
  <w:num w:numId="9" w16cid:durableId="1145121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E31"/>
    <w:rsid w:val="0029639D"/>
    <w:rsid w:val="00326F90"/>
    <w:rsid w:val="004F0F1D"/>
    <w:rsid w:val="00A62A8D"/>
    <w:rsid w:val="00AA1D8D"/>
    <w:rsid w:val="00B47730"/>
    <w:rsid w:val="00B874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1C16D"/>
  <w14:defaultImageDpi w14:val="300"/>
  <w15:docId w15:val="{3AA63B1A-B1EE-3C49-B418-CAB6DA44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ournal.uir.ac.id/index.php/syarikat/article/view/21687" TargetMode="Externa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saladstop.co.id/locations/" TargetMode="External"/><Relationship Id="rId7" Type="http://schemas.openxmlformats.org/officeDocument/2006/relationships/endnotes" Target="endnotes.xml"/><Relationship Id="rId12" Type="http://schemas.openxmlformats.org/officeDocument/2006/relationships/hyperlink" Target="https://journal.ipb.ac.id/jcfcs/article/view/56121" TargetMode="External"/><Relationship Id="rId17" Type="http://schemas.openxmlformats.org/officeDocument/2006/relationships/hyperlink" Target="https://weekender.thejakartapost.com/the-weekend-digest/2025/06/04/the-coffee-run-a-third-space-for-every-pace.html"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kpi.or.id/ikpi-runner-community-gelar-sunset-run-5k-di-gbk-perkuat-kebugaran-keakraban-anggota/" TargetMode="External"/><Relationship Id="rId20" Type="http://schemas.openxmlformats.org/officeDocument/2006/relationships/hyperlink" Target="https://pisonindonesia.com/pison-senopat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y.ipb.ac.id/handle/123456789/158947" TargetMode="External"/><Relationship Id="rId24" Type="http://schemas.openxmlformats.org/officeDocument/2006/relationships/hyperlink" Target="https://repository.unsoed.ac.id/4291/"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linktr.ee/honueats" TargetMode="External"/><Relationship Id="rId28" Type="http://schemas.openxmlformats.org/officeDocument/2006/relationships/theme" Target="theme/theme1.xml"/><Relationship Id="rId10" Type="http://schemas.openxmlformats.org/officeDocument/2006/relationships/hyperlink" Target="https://border.upnjatim.ac.id/index.php/border/article/download/782/86/1106" TargetMode="External"/><Relationship Id="rId19" Type="http://schemas.openxmlformats.org/officeDocument/2006/relationships/hyperlink" Target="https://linktr.ee/common.grounds.coffee" TargetMode="External"/><Relationship Id="rId4" Type="http://schemas.openxmlformats.org/officeDocument/2006/relationships/settings" Target="settings.xml"/><Relationship Id="rId9" Type="http://schemas.openxmlformats.org/officeDocument/2006/relationships/hyperlink" Target="https://insight.jakpat.net/healthy-living-and-coffee-trends-in-2025/" TargetMode="External"/><Relationship Id="rId14" Type="http://schemas.openxmlformats.org/officeDocument/2006/relationships/hyperlink" Target="https://halalmui.org/larangan-di-resto-bersertifikat-halal-untuk-apa/" TargetMode="External"/><Relationship Id="rId22" Type="http://schemas.openxmlformats.org/officeDocument/2006/relationships/hyperlink" Target="https://www.burgreens.com/about-u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753</Words>
  <Characters>4391</Characters>
  <Application>Microsoft Office Word</Application>
  <DocSecurity>0</DocSecurity>
  <Lines>67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CORSA Jakarta Culture visual brief</dc:title>
  <dc:subject/>
  <dc:creator>Matthieu</dc:creator>
  <cp:keywords/>
  <dc:description>generated by python-docx</dc:description>
  <cp:lastModifiedBy>Normand, Matthieu</cp:lastModifiedBy>
  <cp:revision>3</cp:revision>
  <dcterms:created xsi:type="dcterms:W3CDTF">2026-10-15T20:09:00Z</dcterms:created>
  <dcterms:modified xsi:type="dcterms:W3CDTF">2026-10-15T20:10:00Z</dcterms:modified>
  <cp:category/>
</cp:coreProperties>
</file>