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813F0" w14:textId="77777777" w:rsidR="00977FF1" w:rsidRDefault="007B0AD3">
      <w:pPr>
        <w:pStyle w:val="Title"/>
      </w:pPr>
      <w:r>
        <w:t>CORSA Jakarta</w:t>
      </w:r>
      <w:r>
        <w:br/>
        <w:t>Economic Findings</w:t>
      </w:r>
    </w:p>
    <w:p w14:paraId="1D91CB83" w14:textId="77777777" w:rsidR="00977FF1" w:rsidRDefault="007B0AD3">
      <w:r>
        <w:rPr>
          <w:color w:val="175CD3"/>
        </w:rPr>
        <w:t>CAGE framework | Matthieu | Team A | 12 October 2026</w:t>
      </w:r>
    </w:p>
    <w:p w14:paraId="7D3914A9" w14:textId="77777777" w:rsidR="00977FF1" w:rsidRDefault="007B0AD3">
      <w:r>
        <w:rPr>
          <w:color w:val="175CD3"/>
        </w:rPr>
        <w:t xml:space="preserve">The economic findings concern spending capacity, price acceptance and repeat purchases. Existing research supports testing selected customer groups, but it does not </w:t>
      </w:r>
      <w:r>
        <w:rPr>
          <w:color w:val="175CD3"/>
        </w:rPr>
        <w:t>establish a viable CORSA price, sufficient demand or a repeat-visit rate.</w:t>
      </w:r>
    </w:p>
    <w:p w14:paraId="11DAA0D1" w14:textId="77777777" w:rsidR="00977FF1" w:rsidRDefault="007B0AD3">
      <w:r>
        <w:rPr>
          <w:color w:val="175CD3"/>
        </w:rPr>
        <w:t>CAGE lens: income, affordability and commercial conditions that affect transfer of the concept. No direct Swiss-to-Jakarta price conversion or purchasing-power estimate has been established. National indicators and team scores must not become store-level forecasts without validation.</w:t>
      </w:r>
    </w:p>
    <w:p w14:paraId="0B582A5A" w14:textId="77777777" w:rsidR="00977FF1" w:rsidRDefault="007B0AD3">
      <w:r>
        <w:rPr>
          <w:color w:val="175CD3"/>
        </w:rPr>
        <w:t>Blue text retains additions from the earlier research and marks new CAGE interpretation. The classification adds no new empirical evidence. Links appear at the end of each section.</w:t>
      </w:r>
    </w:p>
    <w:p w14:paraId="505D698E" w14:textId="77777777" w:rsidR="00977FF1" w:rsidRDefault="007B0AD3">
      <w:pPr>
        <w:pStyle w:val="Heading1"/>
      </w:pPr>
      <w:r>
        <w:t>1 Which customers may support repeat spending</w:t>
      </w:r>
    </w:p>
    <w:p w14:paraId="2AA74288" w14:textId="77777777" w:rsidR="00977FF1" w:rsidRDefault="007B0AD3">
      <w:r>
        <w:rPr>
          <w:color w:val="175CD3"/>
        </w:rPr>
        <w:t>Tiago’s segment assessment ranks young CBD professionals aged 25–39 first at 23/30, followed by affluent residents and running or padel communities at 21/30 each. These are team scores, not measured customer demand. They strengthen the case for starting with professionals who already buy café meals and participate in active or social routines.</w:t>
      </w:r>
    </w:p>
    <w:p w14:paraId="6DB01BFE" w14:textId="77777777" w:rsidR="00977FF1" w:rsidRDefault="007B0AD3">
      <w:r>
        <w:rPr>
          <w:color w:val="175CD3"/>
        </w:rPr>
        <w:t>The fit is strongest as a research hypothesis for professionals and upper-middle-income residents with both spending capacity and a recurring reason to visit. Fitness communities offer a way to reach some of these same people; do not add the groups together as separate markets. Lifestyle-driven consumers should be defined through actual café and food purchases, rather than an identity label.</w:t>
      </w:r>
    </w:p>
    <w:p w14:paraId="182ECF25" w14:textId="77777777" w:rsidR="00977FF1" w:rsidRDefault="007B0AD3">
      <w:r>
        <w:rPr>
          <w:color w:val="175CD3"/>
        </w:rPr>
        <w:t>Students may contribute social visits and entry-price purchases, but should not be assumed to sustain premium meal spending. Expats can be a secondary audience; the reports’ foreign-worker count does not cover all expatriate residents, dependants or visitors. Creators are best treated initially as potential discovery and community partners: neither report establishes their customer volume, budgets or repeat demand.</w:t>
      </w:r>
    </w:p>
    <w:p w14:paraId="56CD7942" w14:textId="77777777" w:rsidR="00977FF1" w:rsidRDefault="007B0AD3">
      <w:r>
        <w:rPr>
          <w:color w:val="175CD3"/>
        </w:rPr>
        <w:t>Paul’s national wage discussion adds a useful caution: being a skilled worker or young professional does not automatically imply a premium food budget. Record actual spending on a usual lunch and coffee, acceptable CORSA prices and realistic frequency before handing customer assumptions to Team B.</w:t>
      </w:r>
    </w:p>
    <w:p w14:paraId="23B1C95F" w14:textId="77777777" w:rsidR="00977FF1" w:rsidRDefault="007B0AD3">
      <w:r>
        <w:rPr>
          <w:color w:val="175CD3"/>
        </w:rPr>
        <w:t>The IPB studies also associate income with healthy-food or coffee purchasing, but their selected Gen Z samples do not establish population demand. The complete study descriptions and lifestyle interpretation are in Culture.</w:t>
      </w:r>
    </w:p>
    <w:p w14:paraId="768706AB" w14:textId="77777777" w:rsidR="00977FF1" w:rsidRDefault="007B0AD3">
      <w:pPr>
        <w:pStyle w:val="Heading2"/>
      </w:pPr>
      <w:r>
        <w:t>Sources</w:t>
      </w:r>
    </w:p>
    <w:p w14:paraId="3517C110" w14:textId="77777777" w:rsidR="00977FF1" w:rsidRDefault="007B0AD3">
      <w:pPr>
        <w:spacing w:after="80"/>
      </w:pPr>
      <w:hyperlink r:id="rId8">
        <w:r>
          <w:rPr>
            <w:sz w:val="19"/>
            <w:u w:val="single"/>
          </w:rPr>
          <w:t>IPB University 2024 — Motivation and sustainable healthy lifestyles in Gen Z healthy-food purchasing</w:t>
        </w:r>
      </w:hyperlink>
    </w:p>
    <w:p w14:paraId="6B564EB6" w14:textId="77777777" w:rsidR="00977FF1" w:rsidRDefault="007B0AD3">
      <w:pPr>
        <w:spacing w:after="80"/>
      </w:pPr>
      <w:hyperlink r:id="rId9">
        <w:r>
          <w:rPr>
            <w:sz w:val="19"/>
            <w:u w:val="single"/>
          </w:rPr>
          <w:t>IPB journal 2024 — The Influence of Lifestyle and Brand Image on Coffee Purchase Behaviour at Coffee-to-Go Shop</w:t>
        </w:r>
      </w:hyperlink>
    </w:p>
    <w:p w14:paraId="69169C64" w14:textId="77777777" w:rsidR="00977FF1" w:rsidRDefault="007B0AD3">
      <w:pPr>
        <w:spacing w:after="80"/>
      </w:pPr>
      <w:r>
        <w:rPr>
          <w:color w:val="175CD3"/>
          <w:sz w:val="19"/>
        </w:rPr>
        <w:t>Team research — Tiago Reimann, 01_Customer Behaviour Report, customer segments; 01.1_Customer Behaviour Extended Data, pp 7–8. Paul, 02_Paul Report 1, PDF pp 5–6. Page numbers refer to PDF pages. No public links supplied for these team files.</w:t>
      </w:r>
    </w:p>
    <w:p w14:paraId="237AA755" w14:textId="77777777" w:rsidR="00977FF1" w:rsidRDefault="007B0AD3">
      <w:pPr>
        <w:pStyle w:val="Heading1"/>
      </w:pPr>
      <w:r>
        <w:t>2 What the evidence says about value and health premiums</w:t>
      </w:r>
    </w:p>
    <w:p w14:paraId="33723D26" w14:textId="77777777" w:rsidR="00977FF1" w:rsidRDefault="007B0AD3">
      <w:r>
        <w:rPr>
          <w:color w:val="175CD3"/>
        </w:rPr>
        <w:t>Jakpat’s Consumer Insights Local Food and Beverage Market surveyed 995 people across eight urban areas in Java in September 2025. Its public summary identifies affordability and flavour as leading venue-choice factors. Tiago reports price at 60% and taste at 59%. The evidence is a useful regional proxy, not a representative survey of CORSA’s Jakarta professionals.</w:t>
      </w:r>
    </w:p>
    <w:p w14:paraId="40A0A968" w14:textId="77777777" w:rsidR="00977FF1" w:rsidRDefault="007B0AD3">
      <w:r>
        <w:rPr>
          <w:color w:val="175CD3"/>
        </w:rPr>
        <w:lastRenderedPageBreak/>
        <w:t>NIQ’s July 2025 Indonesia release reports that 48% would pay over 10% more for food products with enhanced nutritional benefits, while 19% would pay 20% more. Cost was a barrier to healthier living for 43%. The survey reflects adult grocery shoppers nationally; this is stated willingness for food products, not a measured price ceiling for CORSA restaurant meals.</w:t>
      </w:r>
    </w:p>
    <w:p w14:paraId="6E8FC302" w14:textId="77777777" w:rsidR="00977FF1" w:rsidRDefault="007B0AD3">
      <w:r>
        <w:rPr>
          <w:color w:val="175CD3"/>
        </w:rPr>
        <w:t>The 2019 Cipete Raya café thesis associates higher prices with weaker purchasing decisions, while income and product variety show positive associations. The evidence is older and confined to one café corridor; it cannot set current CORSA prices.</w:t>
      </w:r>
    </w:p>
    <w:p w14:paraId="1C3927D4" w14:textId="77777777" w:rsidR="00977FF1" w:rsidRDefault="007B0AD3">
      <w:r>
        <w:rPr>
          <w:color w:val="175CD3"/>
        </w:rPr>
        <w:t>CAGE implication: test an acceptable local price against the actual recipe, portion and occasion. Do not infer a universal premium ceiling from the NIQ survey or use national income comparisons to convert Swiss menu prices mechanically.</w:t>
      </w:r>
    </w:p>
    <w:p w14:paraId="57B9AC7B" w14:textId="77777777" w:rsidR="00977FF1" w:rsidRDefault="007B0AD3">
      <w:pPr>
        <w:pStyle w:val="Heading2"/>
      </w:pPr>
      <w:r>
        <w:t>Sources</w:t>
      </w:r>
    </w:p>
    <w:p w14:paraId="091ADAEE" w14:textId="77777777" w:rsidR="00977FF1" w:rsidRDefault="007B0AD3">
      <w:pPr>
        <w:spacing w:after="80"/>
      </w:pPr>
      <w:hyperlink r:id="rId10">
        <w:r>
          <w:rPr>
            <w:sz w:val="19"/>
            <w:u w:val="single"/>
          </w:rPr>
          <w:t>Universitas Jenderal Soedirman 2019 — Factors influencing coffee purchases in South Jakarta</w:t>
        </w:r>
      </w:hyperlink>
    </w:p>
    <w:p w14:paraId="664D93AE" w14:textId="77777777" w:rsidR="00977FF1" w:rsidRDefault="007B0AD3">
      <w:pPr>
        <w:spacing w:after="80"/>
      </w:pPr>
      <w:r>
        <w:rPr>
          <w:color w:val="175CD3"/>
          <w:sz w:val="19"/>
        </w:rPr>
        <w:t>Team research — Tiago Reimann, Customer Behaviour Report, behaviour and culture; Extended Data, pp 3–4, 9–10 and source 29. Paul, Report 1, PDF p 3.</w:t>
      </w:r>
    </w:p>
    <w:p w14:paraId="49277565" w14:textId="77777777" w:rsidR="00977FF1" w:rsidRDefault="007B0AD3">
      <w:pPr>
        <w:spacing w:after="80"/>
      </w:pPr>
      <w:hyperlink r:id="rId11">
        <w:r>
          <w:rPr>
            <w:color w:val="175CD3"/>
            <w:sz w:val="19"/>
            <w:u w:val="single"/>
          </w:rPr>
          <w:t>Jakpat 8 October 2025 — Consumer Insights Local Food and Beverage Market</w:t>
        </w:r>
      </w:hyperlink>
    </w:p>
    <w:p w14:paraId="09CF6ED9" w14:textId="77777777" w:rsidR="00977FF1" w:rsidRDefault="007B0AD3">
      <w:pPr>
        <w:spacing w:after="80"/>
      </w:pPr>
      <w:hyperlink r:id="rId12">
        <w:r>
          <w:rPr>
            <w:color w:val="175CD3"/>
            <w:sz w:val="19"/>
            <w:u w:val="single"/>
          </w:rPr>
          <w:t>NIQ 10 July 2025 — Indonesian Consumers Reassess Health Priorities</w:t>
        </w:r>
      </w:hyperlink>
    </w:p>
    <w:p w14:paraId="75DC356C" w14:textId="77777777" w:rsidR="00977FF1" w:rsidRDefault="007B0AD3">
      <w:pPr>
        <w:pStyle w:val="Heading1"/>
      </w:pPr>
      <w:r>
        <w:t>3 When social activity becomes commercial demand</w:t>
      </w:r>
    </w:p>
    <w:p w14:paraId="1BFA7216" w14:textId="77777777" w:rsidR="00977FF1" w:rsidRDefault="007B0AD3">
      <w:pPr>
        <w:pStyle w:val="ListBullet"/>
      </w:pPr>
      <w:r>
        <w:t>Input for Team B: distinguish dine-in dwell time and spending from takeaway transactions. A busy-looking café may still generate limited sales per seat.</w:t>
      </w:r>
    </w:p>
    <w:p w14:paraId="71F78796" w14:textId="77777777" w:rsidR="00977FF1" w:rsidRDefault="007B0AD3">
      <w:r>
        <w:t>Test a recurring activity with an existing community and measure purchases, spending and return visits. Attendance alone does not establish a viable customer base. Affordability, a welcoming atmosphere and personal relationships may matter as much as the venue’s appearance.</w:t>
      </w:r>
    </w:p>
    <w:p w14:paraId="40197E47" w14:textId="77777777" w:rsidR="00977FF1" w:rsidRDefault="007B0AD3">
      <w:r>
        <w:rPr>
          <w:color w:val="175CD3"/>
        </w:rPr>
        <w:t xml:space="preserve">A practical test from Tiago’s extended report is two community events with trackable offers. Record attendance, </w:t>
      </w:r>
      <w:r>
        <w:rPr>
          <w:color w:val="175CD3"/>
        </w:rPr>
        <w:t>proportion purchasing, average spend and subsequent visits outside the event. Distinguish new customers from existing customers attending with friends. This will show whether community activity supports repeat café use; attendance and social engagement alone do not answer that question.</w:t>
      </w:r>
    </w:p>
    <w:p w14:paraId="2D0E3C24" w14:textId="77777777" w:rsidR="00977FF1" w:rsidRDefault="007B0AD3">
      <w:pPr>
        <w:pStyle w:val="ListBullet"/>
      </w:pPr>
      <w:r>
        <w:rPr>
          <w:color w:val="175CD3"/>
        </w:rPr>
        <w:t>Community and repeat use — Would you return without a scheduled event or promotion? Track purchases and later visits after the two proposed community tests.</w:t>
      </w:r>
    </w:p>
    <w:p w14:paraId="1625FC75" w14:textId="77777777" w:rsidR="00977FF1" w:rsidRDefault="007B0AD3">
      <w:r>
        <w:rPr>
          <w:color w:val="175CD3"/>
        </w:rPr>
        <w:t>Keep café dwell time, transaction value and repeat visits separate. A long visit or a well-attended run does not necessarily produce enough spending. Daily coffee consumption may include instant or home coffee and is not a daily café visit rate.</w:t>
      </w:r>
    </w:p>
    <w:p w14:paraId="4A52E401" w14:textId="77777777" w:rsidR="00977FF1" w:rsidRDefault="007B0AD3">
      <w:pPr>
        <w:pStyle w:val="Heading2"/>
      </w:pPr>
      <w:r>
        <w:t>Sources</w:t>
      </w:r>
    </w:p>
    <w:p w14:paraId="6901C97C" w14:textId="77777777" w:rsidR="00977FF1" w:rsidRDefault="007B0AD3">
      <w:pPr>
        <w:spacing w:after="80"/>
      </w:pPr>
      <w:hyperlink r:id="rId13">
        <w:r>
          <w:rPr>
            <w:sz w:val="19"/>
            <w:u w:val="single"/>
          </w:rPr>
          <w:t>BORDER journal 2025 — Inclusion Coffee Shop as Third Place</w:t>
        </w:r>
      </w:hyperlink>
    </w:p>
    <w:p w14:paraId="049B930F" w14:textId="77777777" w:rsidR="00977FF1" w:rsidRDefault="007B0AD3">
      <w:pPr>
        <w:spacing w:after="80"/>
      </w:pPr>
      <w:hyperlink r:id="rId14">
        <w:r>
          <w:rPr>
            <w:color w:val="175CD3"/>
            <w:sz w:val="19"/>
            <w:u w:val="single"/>
          </w:rPr>
          <w:t>Jakpat 4 July 2025 — Indonesia 2025 Wellness and Coffee on the Rise</w:t>
        </w:r>
      </w:hyperlink>
    </w:p>
    <w:p w14:paraId="5F656756" w14:textId="77777777" w:rsidR="00977FF1" w:rsidRDefault="007B0AD3">
      <w:pPr>
        <w:spacing w:after="80"/>
      </w:pPr>
      <w:hyperlink r:id="rId15">
        <w:r>
          <w:rPr>
            <w:sz w:val="19"/>
            <w:u w:val="single"/>
          </w:rPr>
          <w:t>The Jakarta Post 4 June 2025 — The Coffee Run A third space for every pace</w:t>
        </w:r>
      </w:hyperlink>
    </w:p>
    <w:p w14:paraId="503A339F" w14:textId="77777777" w:rsidR="00977FF1" w:rsidRDefault="007B0AD3">
      <w:pPr>
        <w:spacing w:after="80"/>
      </w:pPr>
      <w:r>
        <w:rPr>
          <w:color w:val="175CD3"/>
          <w:sz w:val="19"/>
        </w:rPr>
        <w:t>Team research — Tiago Reimann, Customer Behaviour Report, communities and validation; Extended Data, pp 6–8 and 10. Paul, Report 1, PDF p 3.</w:t>
      </w:r>
    </w:p>
    <w:p w14:paraId="63DB2B62" w14:textId="77777777" w:rsidR="00977FF1" w:rsidRDefault="007B0AD3">
      <w:pPr>
        <w:pStyle w:val="Heading1"/>
      </w:pPr>
      <w:r>
        <w:t>4 Competition and costs still needing validation</w:t>
      </w:r>
    </w:p>
    <w:p w14:paraId="6A1C3986" w14:textId="77777777" w:rsidR="00977FF1" w:rsidRDefault="007B0AD3">
      <w:r>
        <w:rPr>
          <w:color w:val="175CD3"/>
        </w:rPr>
        <w:t>Existing coffee, healthy-food and community concepts show that CORSA would compete with established routines. Brand websites and review ratings do not establish market share, profitability or a commercial advantage. Test which venue customers would replace and what makes the full CORSA purchase worth its price.</w:t>
      </w:r>
    </w:p>
    <w:p w14:paraId="57D7AB3C" w14:textId="77777777" w:rsidR="00977FF1" w:rsidRDefault="007B0AD3">
      <w:r>
        <w:rPr>
          <w:color w:val="175CD3"/>
        </w:rPr>
        <w:t>Halal certification, ingredient verification and potential supplier changes may affect cost and launch lead time. The research has not estimated these amounts. Obtain quotes and confirmed supplier options before adding figures to the financial model; the requirements themselves are detailed in Administrative.</w:t>
      </w:r>
    </w:p>
    <w:p w14:paraId="07D109AC" w14:textId="77777777" w:rsidR="00977FF1" w:rsidRDefault="007B0AD3">
      <w:r>
        <w:rPr>
          <w:color w:val="175CD3"/>
        </w:rPr>
        <w:t>Provide Team B with observed price acceptance, paid trial conversion, repeat frequency and the proportion of group participants who purchase. Keep these separate from national survey averages and the team’s segment scores. The Statista “CORSA Core” profile also needs a documented filter before its results can substantiate the proposed audience.</w:t>
      </w:r>
    </w:p>
    <w:p w14:paraId="796CBC09" w14:textId="77777777" w:rsidR="00977FF1" w:rsidRDefault="007B0AD3">
      <w:r>
        <w:rPr>
          <w:color w:val="175CD3"/>
        </w:rPr>
        <w:t>Suggested handoff to Team B: price acceptance for defined products, paid trial conversion, repeat frequency, spending per occasion and event-to-purchase conversion. Preserve the sample, date and customer segment for each measurement. The condensed and extended customer reports are one research stream, not two independent confirmations.</w:t>
      </w:r>
    </w:p>
    <w:p w14:paraId="5B769A15" w14:textId="77777777" w:rsidR="00977FF1" w:rsidRDefault="007B0AD3">
      <w:pPr>
        <w:pStyle w:val="Heading2"/>
      </w:pPr>
      <w:r>
        <w:t>Sources</w:t>
      </w:r>
    </w:p>
    <w:p w14:paraId="7001F85C" w14:textId="77777777" w:rsidR="00977FF1" w:rsidRDefault="007B0AD3">
      <w:pPr>
        <w:spacing w:after="80"/>
      </w:pPr>
      <w:r>
        <w:rPr>
          <w:color w:val="175CD3"/>
          <w:sz w:val="19"/>
        </w:rPr>
        <w:t>Team research — Tiago Reimann, Customer Behaviour Report and Extended Data, competitor and review analysis, pp 5, 8 and 10 and source 49 of Extended Data.</w:t>
      </w:r>
    </w:p>
    <w:p w14:paraId="16A1CE5F" w14:textId="77777777" w:rsidR="00977FF1" w:rsidRDefault="007B0AD3">
      <w:pPr>
        <w:spacing w:after="80"/>
      </w:pPr>
      <w:hyperlink r:id="rId16">
        <w:r>
          <w:rPr>
            <w:color w:val="175CD3"/>
            <w:sz w:val="19"/>
            <w:u w:val="single"/>
          </w:rPr>
          <w:t>USDA FAS — Expanding Halal Standards ID2025-0035, 27 August 2025, pp 1–8</w:t>
        </w:r>
      </w:hyperlink>
    </w:p>
    <w:p w14:paraId="5876CA08" w14:textId="77777777" w:rsidR="00977FF1" w:rsidRDefault="007B0AD3">
      <w:pPr>
        <w:spacing w:after="80"/>
      </w:pPr>
      <w:hyperlink r:id="rId17">
        <w:r>
          <w:rPr>
            <w:color w:val="175CD3"/>
            <w:sz w:val="19"/>
            <w:u w:val="single"/>
          </w:rPr>
          <w:t>USDA FAS — HRI Annual ID2025-0049, 31 December 2025, pp 4–5</w:t>
        </w:r>
      </w:hyperlink>
    </w:p>
    <w:p w14:paraId="60318599" w14:textId="77777777" w:rsidR="00977FF1" w:rsidRDefault="007B0AD3">
      <w:r>
        <w:rPr>
          <w:color w:val="175CD3"/>
          <w:sz w:val="19"/>
        </w:rPr>
        <w:t>CORSA Jakarta Updated Project Scope, section 6; Geography and Culture CORSA1; Tiago Reimann, Customer Behaviour Report and Extended Data, pp 4 and 10; Paul, Report 1, PDF p 3. Interpretation draws on these team inputs and the sources cited in this document.</w:t>
      </w:r>
    </w:p>
    <w:sectPr w:rsidR="00977FF1" w:rsidSect="00034616">
      <w:footerReference w:type="default" r:id="rId18"/>
      <w:pgSz w:w="11909" w:h="16834"/>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5F803" w14:textId="77777777" w:rsidR="007B0AD3" w:rsidRDefault="007B0AD3">
      <w:pPr>
        <w:spacing w:after="0" w:line="240" w:lineRule="auto"/>
      </w:pPr>
      <w:r>
        <w:separator/>
      </w:r>
    </w:p>
  </w:endnote>
  <w:endnote w:type="continuationSeparator" w:id="0">
    <w:p w14:paraId="4AA75AE2" w14:textId="77777777" w:rsidR="007B0AD3" w:rsidRDefault="007B0A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0F0D" w14:textId="77777777" w:rsidR="00977FF1" w:rsidRDefault="007B0AD3">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CAC7E" w14:textId="77777777" w:rsidR="007B0AD3" w:rsidRDefault="007B0AD3">
      <w:pPr>
        <w:spacing w:after="0" w:line="240" w:lineRule="auto"/>
      </w:pPr>
      <w:r>
        <w:separator/>
      </w:r>
    </w:p>
  </w:footnote>
  <w:footnote w:type="continuationSeparator" w:id="0">
    <w:p w14:paraId="113F292E" w14:textId="77777777" w:rsidR="007B0AD3" w:rsidRDefault="007B0A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6120212">
    <w:abstractNumId w:val="8"/>
  </w:num>
  <w:num w:numId="2" w16cid:durableId="1083533164">
    <w:abstractNumId w:val="6"/>
  </w:num>
  <w:num w:numId="3" w16cid:durableId="1471366138">
    <w:abstractNumId w:val="5"/>
  </w:num>
  <w:num w:numId="4" w16cid:durableId="1228103445">
    <w:abstractNumId w:val="4"/>
  </w:num>
  <w:num w:numId="5" w16cid:durableId="1855923057">
    <w:abstractNumId w:val="7"/>
  </w:num>
  <w:num w:numId="6" w16cid:durableId="331418155">
    <w:abstractNumId w:val="3"/>
  </w:num>
  <w:num w:numId="7" w16cid:durableId="641928277">
    <w:abstractNumId w:val="2"/>
  </w:num>
  <w:num w:numId="8" w16cid:durableId="994381283">
    <w:abstractNumId w:val="1"/>
  </w:num>
  <w:num w:numId="9" w16cid:durableId="312488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0F1D"/>
    <w:rsid w:val="007B0AD3"/>
    <w:rsid w:val="00977F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F17960"/>
  <w14:defaultImageDpi w14:val="300"/>
  <w15:docId w15:val="{3AA63B1A-B1EE-3C49-B418-CAB6DA444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45"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y.ipb.ac.id/handle/123456789/158947" TargetMode="External"/><Relationship Id="rId13" Type="http://schemas.openxmlformats.org/officeDocument/2006/relationships/hyperlink" Target="https://border.upnjatim.ac.id/index.php/border/article/download/782/86/1106"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nielseniq.com/global/en/news-center/2025/niq-indonesian-consumers-reassess-health-priorities-seek-greater-transparency-support-and-smart-solutions/" TargetMode="External"/><Relationship Id="rId17" Type="http://schemas.openxmlformats.org/officeDocument/2006/relationships/hyperlink" Target="https://apps.fas.usda.gov/newgainapi/api/Report/DownloadReportByFileName?fileName=Food+Service+-+Hotel+Restaurant+Institutional+Annual_Jakarta_Indonesia_ID2025-0049.pdf" TargetMode="External"/><Relationship Id="rId2" Type="http://schemas.openxmlformats.org/officeDocument/2006/relationships/numbering" Target="numbering.xml"/><Relationship Id="rId16" Type="http://schemas.openxmlformats.org/officeDocument/2006/relationships/hyperlink" Target="https://apps.fas.usda.gov/newgainapi/api/Report/DownloadReportByFileName?fileName=Indonesia%27s+Expanding+Halal+Standards+with+Trade+Impacts+on+the+Horizon_Jakarta_Indonesia_ID2025-003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nsight.jakpat.net/consumer-insights-local-food-beverage-market/" TargetMode="External"/><Relationship Id="rId5" Type="http://schemas.openxmlformats.org/officeDocument/2006/relationships/webSettings" Target="webSettings.xml"/><Relationship Id="rId15" Type="http://schemas.openxmlformats.org/officeDocument/2006/relationships/hyperlink" Target="https://weekender.thejakartapost.com/the-weekend-digest/2025/06/04/the-coffee-run-a-third-space-for-every-pace.html" TargetMode="External"/><Relationship Id="rId10" Type="http://schemas.openxmlformats.org/officeDocument/2006/relationships/hyperlink" Target="https://repository.unsoed.ac.id/4291/"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journal.ipb.ac.id/jcfcs/article/view/56121" TargetMode="External"/><Relationship Id="rId14" Type="http://schemas.openxmlformats.org/officeDocument/2006/relationships/hyperlink" Target="https://insight.jakpat.net/healthy-living-and-coffee-trends-in-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1369</Words>
  <Characters>7985</Characters>
  <Application>Microsoft Office Word</Application>
  <DocSecurity>0</DocSecurity>
  <Lines>122</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CORSA Jakarta CAGE Economic</dc:title>
  <dc:subject>CAGE classification of the consolidated geography and culture research</dc:subject>
  <dc:creator>python-docx</dc:creator>
  <cp:keywords/>
  <dc:description>generated by python-docx</dc:description>
  <cp:lastModifiedBy>Normand, Matthieu</cp:lastModifiedBy>
  <cp:revision>2</cp:revision>
  <dcterms:created xsi:type="dcterms:W3CDTF">2026-10-12T13:34:00Z</dcterms:created>
  <dcterms:modified xsi:type="dcterms:W3CDTF">2026-10-12T13:34:00Z</dcterms:modified>
  <cp:category/>
</cp:coreProperties>
</file>