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C47CF" w14:textId="77777777" w:rsidR="0093166E" w:rsidRPr="00C63117" w:rsidRDefault="00C63117">
      <w:pPr>
        <w:pStyle w:val="Title"/>
        <w:rPr>
          <w:color w:val="auto"/>
        </w:rPr>
      </w:pPr>
      <w:r w:rsidRPr="00C63117">
        <w:rPr>
          <w:color w:val="auto"/>
        </w:rPr>
        <w:t>CORSA Jakarta</w:t>
      </w:r>
      <w:r w:rsidRPr="00C63117">
        <w:rPr>
          <w:color w:val="auto"/>
        </w:rPr>
        <w:br/>
        <w:t>Geography and Culture Research</w:t>
      </w:r>
    </w:p>
    <w:p w14:paraId="600B71B1" w14:textId="77777777" w:rsidR="0093166E" w:rsidRPr="00C63117" w:rsidRDefault="00C63117">
      <w:pPr>
        <w:rPr>
          <w:color w:val="auto"/>
        </w:rPr>
      </w:pPr>
      <w:r w:rsidRPr="00C63117">
        <w:rPr>
          <w:color w:val="auto"/>
        </w:rPr>
        <w:t>HSG Capstone Project | Matthieu | Team A</w:t>
      </w:r>
      <w:r w:rsidRPr="00C63117">
        <w:rPr>
          <w:color w:val="auto"/>
        </w:rPr>
        <w:br/>
        <w:t>Updated 12 October 2026</w:t>
      </w:r>
    </w:p>
    <w:p w14:paraId="3215748F" w14:textId="77777777" w:rsidR="0093166E" w:rsidRPr="00C63117" w:rsidRDefault="00C63117">
      <w:pPr>
        <w:rPr>
          <w:color w:val="auto"/>
        </w:rPr>
      </w:pPr>
      <w:r w:rsidRPr="00C63117">
        <w:rPr>
          <w:color w:val="auto"/>
        </w:rPr>
        <w:t xml:space="preserve">This brief examines the consumer and cultural questions in Pillar 1 of CORSA’s Jakarta scope. It covers target customers, café habits, </w:t>
      </w:r>
      <w:r w:rsidRPr="00C63117">
        <w:rPr>
          <w:color w:val="auto"/>
        </w:rPr>
        <w:t>community activity, cultural adaptation and existing comparable concepts.</w:t>
      </w:r>
    </w:p>
    <w:p w14:paraId="7C2562F1" w14:textId="77777777" w:rsidR="0093166E" w:rsidRPr="00C63117" w:rsidRDefault="00C63117">
      <w:pPr>
        <w:rPr>
          <w:color w:val="auto"/>
        </w:rPr>
      </w:pPr>
      <w:r w:rsidRPr="00C63117">
        <w:rPr>
          <w:color w:val="auto"/>
        </w:rPr>
        <w:t>The evidence supports a plausible fit for CORSA’s combination of coffee, healthier food and community. It does not yet establish demand for the full concept at a viable premium price. Research findings, practical implications and remaining uncertainties are distinguished throughout.</w:t>
      </w:r>
    </w:p>
    <w:p w14:paraId="4151C551" w14:textId="77777777" w:rsidR="0093166E" w:rsidRPr="00C63117" w:rsidRDefault="00C63117">
      <w:pPr>
        <w:rPr>
          <w:color w:val="auto"/>
        </w:rPr>
      </w:pPr>
      <w:r w:rsidRPr="00C63117">
        <w:rPr>
          <w:color w:val="auto"/>
        </w:rPr>
        <w:t>Blue text identifies additions to the current geography and culture report. Existing research remains black. Sources and links appear at the end of each section.</w:t>
      </w:r>
    </w:p>
    <w:p w14:paraId="790B8160" w14:textId="77777777" w:rsidR="0093166E" w:rsidRPr="00C63117" w:rsidRDefault="00C63117">
      <w:pPr>
        <w:rPr>
          <w:color w:val="auto"/>
        </w:rPr>
      </w:pPr>
      <w:r w:rsidRPr="00C63117">
        <w:rPr>
          <w:color w:val="auto"/>
        </w:rPr>
        <w:t>The combined evidence supports testing a locally adapted café and food concept with professionals and active communities. Taste, value, halal trust and repeat visits remain the decisive questions. Tiago’s condensed report and extended data are versions of the same research, not independent confirmation.</w:t>
      </w:r>
    </w:p>
    <w:p w14:paraId="496F2E9E" w14:textId="77777777" w:rsidR="0093166E" w:rsidRPr="00C63117" w:rsidRDefault="00C63117">
      <w:pPr>
        <w:pStyle w:val="Heading1"/>
        <w:rPr>
          <w:color w:val="auto"/>
        </w:rPr>
      </w:pPr>
      <w:r w:rsidRPr="00C63117">
        <w:rPr>
          <w:color w:val="auto"/>
        </w:rPr>
        <w:t>1 Target customers</w:t>
      </w:r>
    </w:p>
    <w:p w14:paraId="495C4F12" w14:textId="77777777" w:rsidR="0093166E" w:rsidRPr="00C63117" w:rsidRDefault="00C63117">
      <w:pPr>
        <w:spacing w:after="200"/>
        <w:rPr>
          <w:color w:val="auto"/>
        </w:rPr>
      </w:pPr>
      <w:r w:rsidRPr="00C63117">
        <w:rPr>
          <w:i/>
          <w:color w:val="auto"/>
        </w:rPr>
        <w:t>Scope question: Who are the most relevant CORSA customers in Jakarta? How strong is the fit with young urban professionals, upper-middle-class consumers, fitness communities, creators, students, expats and lifestyle-driven consumers?</w:t>
      </w:r>
    </w:p>
    <w:p w14:paraId="7552400D" w14:textId="77777777" w:rsidR="0093166E" w:rsidRPr="00C63117" w:rsidRDefault="00C63117">
      <w:pPr>
        <w:pStyle w:val="Heading2"/>
        <w:rPr>
          <w:color w:val="auto"/>
        </w:rPr>
      </w:pPr>
      <w:r w:rsidRPr="00C63117">
        <w:rPr>
          <w:color w:val="auto"/>
        </w:rPr>
        <w:t>Healthy lifestyles and healthy food purchasing</w:t>
      </w:r>
    </w:p>
    <w:p w14:paraId="6F701CBE" w14:textId="77777777" w:rsidR="0093166E" w:rsidRPr="00C63117" w:rsidRDefault="00C63117">
      <w:pPr>
        <w:rPr>
          <w:color w:val="auto"/>
        </w:rPr>
      </w:pPr>
      <w:r w:rsidRPr="00C63117">
        <w:rPr>
          <w:color w:val="auto"/>
        </w:rPr>
        <w:t>The 2024 IPB University thesis by Fatima Auliya Zahra and Istiqlaliyah Muflikhati surveyed 210 Generation Z respondents living in Jakarta who had previously purchased healthy food. Higher income was associated with stronger healthy-food purchasing behaviour and a more sustainable healthy lifestyle. Motivation influenced purchasing directly and through lifestyle.</w:t>
      </w:r>
    </w:p>
    <w:p w14:paraId="3B0BA620" w14:textId="77777777" w:rsidR="0093166E" w:rsidRPr="00C63117" w:rsidRDefault="00C63117">
      <w:pPr>
        <w:rPr>
          <w:color w:val="auto"/>
        </w:rPr>
      </w:pPr>
      <w:r w:rsidRPr="00C63117">
        <w:rPr>
          <w:color w:val="auto"/>
        </w:rPr>
        <w:t>Implication for CORSA: health-conscious younger consumers are a credible audience to investigate, particularly where interest in healthier eating overlaps with spending capacity. Age alone is not a sufficient customer definition.</w:t>
      </w:r>
    </w:p>
    <w:p w14:paraId="48F0F244" w14:textId="77777777" w:rsidR="0093166E" w:rsidRPr="00C63117" w:rsidRDefault="00C63117">
      <w:pPr>
        <w:rPr>
          <w:color w:val="auto"/>
        </w:rPr>
      </w:pPr>
      <w:r w:rsidRPr="00C63117">
        <w:rPr>
          <w:color w:val="auto"/>
        </w:rPr>
        <w:t>Limit: this online sample deliberately included previous healthy-food buyers. It cannot estimate how common such customers are across Jakarta, and it concerns healthy-food purchases broadly rather than only restaurant meals.</w:t>
      </w:r>
    </w:p>
    <w:p w14:paraId="5E8AEFF8" w14:textId="77777777" w:rsidR="0093166E" w:rsidRPr="00C63117" w:rsidRDefault="00C63117">
      <w:pPr>
        <w:pStyle w:val="Heading2"/>
        <w:rPr>
          <w:color w:val="auto"/>
        </w:rPr>
      </w:pPr>
      <w:r w:rsidRPr="00C63117">
        <w:rPr>
          <w:color w:val="auto"/>
        </w:rPr>
        <w:t>Lifestyle and brand image in coffee purchasing</w:t>
      </w:r>
    </w:p>
    <w:p w14:paraId="1324F20F" w14:textId="77777777" w:rsidR="0093166E" w:rsidRPr="00C63117" w:rsidRDefault="00C63117">
      <w:pPr>
        <w:rPr>
          <w:color w:val="auto"/>
        </w:rPr>
      </w:pPr>
      <w:r w:rsidRPr="00C63117">
        <w:rPr>
          <w:color w:val="auto"/>
        </w:rPr>
        <w:t>The IPB journal article The Influence of Lifestyle and Brand Image on Coffee Purchase Behaviour at Coffee-to-Go Shop studied 146 Gen Z respondents in DKI Jakarta through a voluntary online survey. Lifestyle and brand image were positively associated with purchasing behaviour. Monthly income also had a positive relationship with coffee purchasing.</w:t>
      </w:r>
    </w:p>
    <w:p w14:paraId="0B66F1AF" w14:textId="77777777" w:rsidR="0093166E" w:rsidRPr="00C63117" w:rsidRDefault="00C63117">
      <w:pPr>
        <w:rPr>
          <w:color w:val="auto"/>
        </w:rPr>
      </w:pPr>
      <w:r w:rsidRPr="00C63117">
        <w:rPr>
          <w:color w:val="auto"/>
        </w:rPr>
        <w:t>Implication for CORSA: brand identity can matter alongside the product. The proposed starting audience is people living or working near the venue who already spend on cafés, value healthier food and can afford regular visits. Prioritising young professionals within this audience remains a hypothesis to test, rather than a conclusion established by these two studies.</w:t>
      </w:r>
    </w:p>
    <w:p w14:paraId="07527DF3" w14:textId="77777777" w:rsidR="0093166E" w:rsidRPr="00C63117" w:rsidRDefault="00C63117">
      <w:pPr>
        <w:rPr>
          <w:color w:val="auto"/>
        </w:rPr>
      </w:pPr>
      <w:r w:rsidRPr="00C63117">
        <w:rPr>
          <w:color w:val="auto"/>
        </w:rPr>
        <w:t>Limit: neither study establishes the size of CORSA’s potential customer base, willingness to pay for its menu or likely repeat frequency. Their survey designs do not establish causation.</w:t>
      </w:r>
    </w:p>
    <w:p w14:paraId="02B68FAC" w14:textId="77777777" w:rsidR="0093166E" w:rsidRPr="00C63117" w:rsidRDefault="00C63117">
      <w:pPr>
        <w:pStyle w:val="Heading2"/>
        <w:rPr>
          <w:color w:val="auto"/>
        </w:rPr>
      </w:pPr>
      <w:r w:rsidRPr="00C63117">
        <w:rPr>
          <w:color w:val="auto"/>
        </w:rPr>
        <w:lastRenderedPageBreak/>
        <w:t>Customer priorities from the team research</w:t>
      </w:r>
    </w:p>
    <w:p w14:paraId="30B27C66" w14:textId="77777777" w:rsidR="0093166E" w:rsidRPr="00C63117" w:rsidRDefault="00C63117">
      <w:pPr>
        <w:rPr>
          <w:color w:val="auto"/>
        </w:rPr>
      </w:pPr>
      <w:r w:rsidRPr="00C63117">
        <w:rPr>
          <w:color w:val="auto"/>
        </w:rPr>
        <w:t>Tiago’s segment assessment ranks young CBD professionals aged 25–39 first at 23/30, followed by affluent residents and running or padel communities at 21/30 each. These are team scores, not measured customer demand. They strengthen the case for starting with professionals who already buy café meals and participate in active or social routines.</w:t>
      </w:r>
    </w:p>
    <w:p w14:paraId="4A5B1066" w14:textId="77777777" w:rsidR="0093166E" w:rsidRPr="00C63117" w:rsidRDefault="00C63117">
      <w:pPr>
        <w:rPr>
          <w:color w:val="auto"/>
        </w:rPr>
      </w:pPr>
      <w:r w:rsidRPr="00C63117">
        <w:rPr>
          <w:color w:val="auto"/>
        </w:rPr>
        <w:t>The fit is strongest as a research hypothesis for professionals and upper-middle-income residents with both spending capacity and a recurring reason to visit. Fitness communities offer a way to reach some of these same people; do not add the groups together as separate markets. Lifestyle-driven consumers should be defined through actual café and food purchases, rather than an identity label.</w:t>
      </w:r>
    </w:p>
    <w:p w14:paraId="22910481" w14:textId="77777777" w:rsidR="0093166E" w:rsidRPr="00C63117" w:rsidRDefault="00C63117">
      <w:pPr>
        <w:rPr>
          <w:color w:val="auto"/>
        </w:rPr>
      </w:pPr>
      <w:r w:rsidRPr="00C63117">
        <w:rPr>
          <w:color w:val="auto"/>
        </w:rPr>
        <w:t>Students may contribute social visits and entry-price purchases, but should not be assumed to sustain premium meal spending. Expats can be a secondary audience; the reports’ foreign-worker count does not cover all expatriate residents, dependants or visitors. Creators are best treated initially as potential discovery and community partners: neither report establishes their customer volume, budgets or repeat demand.</w:t>
      </w:r>
    </w:p>
    <w:p w14:paraId="30668E79" w14:textId="77777777" w:rsidR="0093166E" w:rsidRPr="00C63117" w:rsidRDefault="00C63117">
      <w:pPr>
        <w:pStyle w:val="Heading2"/>
        <w:rPr>
          <w:color w:val="auto"/>
        </w:rPr>
      </w:pPr>
      <w:r w:rsidRPr="00C63117">
        <w:rPr>
          <w:color w:val="auto"/>
        </w:rPr>
        <w:t>Geographic interpretation of the audience</w:t>
      </w:r>
    </w:p>
    <w:p w14:paraId="697487FA" w14:textId="77777777" w:rsidR="0093166E" w:rsidRPr="00C63117" w:rsidRDefault="00C63117">
      <w:pPr>
        <w:rPr>
          <w:color w:val="auto"/>
        </w:rPr>
      </w:pPr>
      <w:r w:rsidRPr="00C63117">
        <w:rPr>
          <w:color w:val="auto"/>
        </w:rPr>
        <w:t>Paul’s demographic compilation puts DKI Jakarta residents aged 20–39 at about 3.47 million in 2021 and 3.23 million in 2026, a projected decline of about 7.1%. Use this as a team-reported demographic caution pending reconciliation with the underlying BPS series. A large resident cohort alone does not demonstrate enough reachable customers for a store, and the trend does not measure café demand.</w:t>
      </w:r>
    </w:p>
    <w:p w14:paraId="369181B9" w14:textId="77777777" w:rsidR="0093166E" w:rsidRPr="00C63117" w:rsidRDefault="00C63117">
      <w:pPr>
        <w:rPr>
          <w:color w:val="auto"/>
        </w:rPr>
      </w:pPr>
      <w:r w:rsidRPr="00C63117">
        <w:rPr>
          <w:color w:val="auto"/>
        </w:rPr>
        <w:t>Distinguish DKI residents from the wider Jabodetabek population and people commuting into Jakarta. Ask interviewees where they live, work and exercise, and when they are present. This matters more to a recurring lunch or post-run visit than an aggregate city population. Gen Z and Millennial totals also cover different ages from Paul’s 20–39 group, so the figures cannot be substituted for one another.</w:t>
      </w:r>
    </w:p>
    <w:p w14:paraId="072A725F" w14:textId="77777777" w:rsidR="0093166E" w:rsidRPr="00C63117" w:rsidRDefault="00C63117">
      <w:pPr>
        <w:rPr>
          <w:color w:val="auto"/>
        </w:rPr>
      </w:pPr>
      <w:r w:rsidRPr="00C63117">
        <w:rPr>
          <w:color w:val="auto"/>
        </w:rPr>
        <w:t>Paul’s national wage discussion adds a useful caution: being a skilled worker or young professional does not automatically imply a premium food budget. Record actual spending on a usual lunch and coffee, acceptable CORSA prices and realistic frequency before handing customer assumptions to Team B.</w:t>
      </w:r>
    </w:p>
    <w:p w14:paraId="02726A07" w14:textId="77777777" w:rsidR="0093166E" w:rsidRPr="00C63117" w:rsidRDefault="00C63117">
      <w:pPr>
        <w:pStyle w:val="Heading2"/>
        <w:rPr>
          <w:color w:val="auto"/>
        </w:rPr>
      </w:pPr>
      <w:r w:rsidRPr="00C63117">
        <w:rPr>
          <w:color w:val="auto"/>
        </w:rPr>
        <w:t>Sources</w:t>
      </w:r>
    </w:p>
    <w:p w14:paraId="7A5A34E7" w14:textId="77777777" w:rsidR="0093166E" w:rsidRPr="00C63117" w:rsidRDefault="00C63117">
      <w:pPr>
        <w:spacing w:after="80"/>
        <w:rPr>
          <w:color w:val="auto"/>
        </w:rPr>
      </w:pPr>
      <w:hyperlink r:id="rId8">
        <w:r w:rsidRPr="00C63117">
          <w:rPr>
            <w:color w:val="auto"/>
            <w:sz w:val="19"/>
            <w:u w:val="single"/>
          </w:rPr>
          <w:t>IPB University 2024 — Motivation and sustainable healthy lifestyles in Gen Z healthy-food purchasing</w:t>
        </w:r>
      </w:hyperlink>
    </w:p>
    <w:p w14:paraId="71AC821F" w14:textId="77777777" w:rsidR="0093166E" w:rsidRPr="00C63117" w:rsidRDefault="00C63117">
      <w:pPr>
        <w:spacing w:after="80"/>
        <w:rPr>
          <w:color w:val="auto"/>
        </w:rPr>
      </w:pPr>
      <w:hyperlink r:id="rId9">
        <w:r w:rsidRPr="00C63117">
          <w:rPr>
            <w:color w:val="auto"/>
            <w:sz w:val="19"/>
            <w:u w:val="single"/>
          </w:rPr>
          <w:t>IPB journal 2024 — The Influence of Lifestyle and Brand Image on Coffee Purchase Behaviour at Coffee-to-Go Shop</w:t>
        </w:r>
      </w:hyperlink>
    </w:p>
    <w:p w14:paraId="0208C7F1" w14:textId="77777777" w:rsidR="0093166E" w:rsidRPr="00C63117" w:rsidRDefault="00C63117">
      <w:pPr>
        <w:spacing w:after="80"/>
        <w:rPr>
          <w:color w:val="auto"/>
        </w:rPr>
      </w:pPr>
      <w:r w:rsidRPr="00C63117">
        <w:rPr>
          <w:color w:val="auto"/>
          <w:sz w:val="19"/>
        </w:rPr>
        <w:t>Team research — Tiago Reimann, 01_Customer Behaviour Report, customer segments; 01.1_Customer Behaviour Extended Data, pp 7–8. Paul, 02_Paul Report 1, PDF pp 5–6. Page numbers refer to PDF pages. No public links supplied for these team files.</w:t>
      </w:r>
    </w:p>
    <w:p w14:paraId="25EB1296" w14:textId="77777777" w:rsidR="0093166E" w:rsidRPr="00C63117" w:rsidRDefault="00C63117">
      <w:pPr>
        <w:pStyle w:val="Heading1"/>
        <w:spacing w:before="360"/>
        <w:rPr>
          <w:color w:val="auto"/>
        </w:rPr>
      </w:pPr>
      <w:r w:rsidRPr="00C63117">
        <w:rPr>
          <w:color w:val="auto"/>
        </w:rPr>
        <w:t>2 How customers use cafés socially</w:t>
      </w:r>
    </w:p>
    <w:p w14:paraId="4634DA83" w14:textId="77777777" w:rsidR="0093166E" w:rsidRPr="00C63117" w:rsidRDefault="00C63117">
      <w:pPr>
        <w:spacing w:after="200"/>
        <w:rPr>
          <w:color w:val="auto"/>
        </w:rPr>
      </w:pPr>
      <w:r w:rsidRPr="00C63117">
        <w:rPr>
          <w:i/>
          <w:color w:val="auto"/>
        </w:rPr>
        <w:t>Scope question: How do people in Jakarta use cafés and food spaces socially?</w:t>
      </w:r>
    </w:p>
    <w:p w14:paraId="74AFB225" w14:textId="77777777" w:rsidR="0093166E" w:rsidRPr="00C63117" w:rsidRDefault="00C63117">
      <w:pPr>
        <w:rPr>
          <w:color w:val="auto"/>
        </w:rPr>
      </w:pPr>
      <w:r w:rsidRPr="00C63117">
        <w:rPr>
          <w:color w:val="auto"/>
        </w:rPr>
        <w:t xml:space="preserve">Cafés can function as places to meet friends, work, organise activities and spend extended time together. This </w:t>
      </w:r>
      <w:r w:rsidRPr="00C63117">
        <w:rPr>
          <w:color w:val="auto"/>
        </w:rPr>
        <w:t>makes the social experience relevant to CORSA alongside food quality and convenience.</w:t>
      </w:r>
    </w:p>
    <w:p w14:paraId="13523E7D" w14:textId="77777777" w:rsidR="0093166E" w:rsidRPr="00C63117" w:rsidRDefault="00C63117">
      <w:pPr>
        <w:pStyle w:val="Heading2"/>
        <w:rPr>
          <w:color w:val="auto"/>
        </w:rPr>
      </w:pPr>
      <w:r w:rsidRPr="00C63117">
        <w:rPr>
          <w:color w:val="auto"/>
        </w:rPr>
        <w:t>Evidence of longer visits</w:t>
      </w:r>
    </w:p>
    <w:p w14:paraId="5533FD6D" w14:textId="77777777" w:rsidR="0093166E" w:rsidRPr="00C63117" w:rsidRDefault="00C63117">
      <w:pPr>
        <w:rPr>
          <w:color w:val="auto"/>
        </w:rPr>
      </w:pPr>
      <w:r w:rsidRPr="00C63117">
        <w:rPr>
          <w:color w:val="auto"/>
        </w:rPr>
        <w:t>The 2025 study Inclusion Coffee Shop as Third Place examined a café with 20 participants from Jakarta and surrounding cities. Ten participants reported visits lasting one to two hours, and seven reported three to four hours. The study discusses comfort, social interaction, an inclusive environment and facilities such as Wi-Fi.</w:t>
      </w:r>
    </w:p>
    <w:p w14:paraId="468E2B65" w14:textId="77777777" w:rsidR="0093166E" w:rsidRPr="00C63117" w:rsidRDefault="00C63117">
      <w:pPr>
        <w:rPr>
          <w:color w:val="auto"/>
        </w:rPr>
      </w:pPr>
      <w:r w:rsidRPr="00C63117">
        <w:rPr>
          <w:color w:val="auto"/>
        </w:rPr>
        <w:t>This is a small, single-café study. The durations demonstrate a behaviour worth investigating; they should not be used as Jakarta-wide averages or inserted directly into the financial model.</w:t>
      </w:r>
    </w:p>
    <w:p w14:paraId="572391A4" w14:textId="77777777" w:rsidR="0093166E" w:rsidRPr="00C63117" w:rsidRDefault="00C63117">
      <w:pPr>
        <w:pStyle w:val="Heading2"/>
        <w:rPr>
          <w:color w:val="auto"/>
        </w:rPr>
      </w:pPr>
      <w:r w:rsidRPr="00C63117">
        <w:rPr>
          <w:color w:val="auto"/>
        </w:rPr>
        <w:t>Cafés as a third place</w:t>
      </w:r>
    </w:p>
    <w:p w14:paraId="0A971327" w14:textId="77777777" w:rsidR="0093166E" w:rsidRPr="00C63117" w:rsidRDefault="00C63117">
      <w:pPr>
        <w:rPr>
          <w:color w:val="auto"/>
        </w:rPr>
      </w:pPr>
      <w:r w:rsidRPr="00C63117">
        <w:rPr>
          <w:color w:val="auto"/>
        </w:rPr>
        <w:t>A UIN Jakarta thesis on the changing meaning of coffee shops among students describes cafés as spaces for social interaction and organisational activities. Affordability, an inclusive environment and the freedom to gather contributed to their appeal as a “third place” outside home and work or study.</w:t>
      </w:r>
    </w:p>
    <w:p w14:paraId="60C67916" w14:textId="77777777" w:rsidR="0093166E" w:rsidRPr="00C63117" w:rsidRDefault="00C63117">
      <w:pPr>
        <w:pStyle w:val="Heading2"/>
        <w:rPr>
          <w:color w:val="auto"/>
        </w:rPr>
      </w:pPr>
      <w:r w:rsidRPr="00C63117">
        <w:rPr>
          <w:color w:val="auto"/>
        </w:rPr>
        <w:t>Implications for CORSA</w:t>
      </w:r>
    </w:p>
    <w:p w14:paraId="39202A7E" w14:textId="77777777" w:rsidR="0093166E" w:rsidRPr="00C63117" w:rsidRDefault="00C63117">
      <w:pPr>
        <w:rPr>
          <w:color w:val="auto"/>
        </w:rPr>
      </w:pPr>
      <w:r w:rsidRPr="00C63117">
        <w:rPr>
          <w:color w:val="auto"/>
        </w:rPr>
        <w:t>CORSA’s “food as fuel” proposition can coexist with customers who want to slow down and spend time together. Test comfortable group seating, atmosphere and service alongside takeaway convenience. The café should be evaluated for both quick meal or coffee purchases and longer social visits.</w:t>
      </w:r>
    </w:p>
    <w:p w14:paraId="220AF406" w14:textId="77777777" w:rsidR="0093166E" w:rsidRPr="00C63117" w:rsidRDefault="00C63117">
      <w:pPr>
        <w:pStyle w:val="ListBullet"/>
        <w:rPr>
          <w:color w:val="auto"/>
        </w:rPr>
      </w:pPr>
      <w:r w:rsidRPr="00C63117">
        <w:rPr>
          <w:color w:val="auto"/>
        </w:rPr>
        <w:t xml:space="preserve">Customer </w:t>
      </w:r>
      <w:r w:rsidRPr="00C63117">
        <w:rPr>
          <w:color w:val="auto"/>
        </w:rPr>
        <w:t>research: ask who people visit with, why they choose a café, how long they stay and whether they order again during the visit.</w:t>
      </w:r>
    </w:p>
    <w:p w14:paraId="19405243" w14:textId="77777777" w:rsidR="0093166E" w:rsidRPr="00C63117" w:rsidRDefault="00C63117">
      <w:pPr>
        <w:pStyle w:val="ListBullet"/>
        <w:rPr>
          <w:color w:val="auto"/>
        </w:rPr>
      </w:pPr>
      <w:r w:rsidRPr="00C63117">
        <w:rPr>
          <w:color w:val="auto"/>
        </w:rPr>
        <w:t>Store experience: investigate seating comfort, group layouts, Wi-Fi and the balance between social space and efficient ordering.</w:t>
      </w:r>
    </w:p>
    <w:p w14:paraId="53A0A423" w14:textId="77777777" w:rsidR="0093166E" w:rsidRPr="00C63117" w:rsidRDefault="00C63117">
      <w:pPr>
        <w:pStyle w:val="ListBullet"/>
        <w:rPr>
          <w:color w:val="auto"/>
        </w:rPr>
      </w:pPr>
      <w:r w:rsidRPr="00C63117">
        <w:rPr>
          <w:color w:val="auto"/>
        </w:rPr>
        <w:t>Input for Team B: distinguish dine-in dwell time and spending from takeaway transactions. A busy-looking café may still generate limited sales per seat.</w:t>
      </w:r>
    </w:p>
    <w:p w14:paraId="54C5BDB6" w14:textId="77777777" w:rsidR="0093166E" w:rsidRPr="00C63117" w:rsidRDefault="00C63117">
      <w:pPr>
        <w:pStyle w:val="Heading2"/>
        <w:rPr>
          <w:color w:val="auto"/>
        </w:rPr>
      </w:pPr>
      <w:r w:rsidRPr="00C63117">
        <w:rPr>
          <w:color w:val="auto"/>
        </w:rPr>
        <w:t>New survey evidence on social and working occasions</w:t>
      </w:r>
    </w:p>
    <w:p w14:paraId="410BD7A4" w14:textId="77777777" w:rsidR="0093166E" w:rsidRPr="00C63117" w:rsidRDefault="00C63117">
      <w:pPr>
        <w:rPr>
          <w:color w:val="auto"/>
        </w:rPr>
      </w:pPr>
      <w:r w:rsidRPr="00C63117">
        <w:rPr>
          <w:color w:val="auto"/>
        </w:rPr>
        <w:t>Jakpat’s Indonesia 2025 Wellness and Coffee on the Rise, cited in Tiago’s report, provides broader support: its coffee survey included 1,002 respondents; 44% associated coffee with gathering and chatting with friends, while 34% used it to help focus on work or study. These are Indonesian survey findings, not Jakarta café occupancy rates.</w:t>
      </w:r>
    </w:p>
    <w:p w14:paraId="7E5C9753" w14:textId="77777777" w:rsidR="0093166E" w:rsidRPr="00C63117" w:rsidRDefault="00C63117">
      <w:pPr>
        <w:rPr>
          <w:color w:val="auto"/>
        </w:rPr>
      </w:pPr>
      <w:r w:rsidRPr="00C63117">
        <w:rPr>
          <w:color w:val="auto"/>
        </w:rPr>
        <w:t>The same survey reports 46% drinking coffee daily, with afternoon the most popular time (35%). Coffee includes home and instant consumption, so daily use cannot be converted into daily café visits. For CORSA, test weekday lunch, afternoon coffee, after-work social visits and weekend activity as separate occasions. Ask whether food is purchased with the drink and whether the visit would happen without a discount.</w:t>
      </w:r>
    </w:p>
    <w:p w14:paraId="412648CF" w14:textId="77777777" w:rsidR="0093166E" w:rsidRPr="00C63117" w:rsidRDefault="00C63117">
      <w:pPr>
        <w:rPr>
          <w:color w:val="auto"/>
        </w:rPr>
      </w:pPr>
      <w:r w:rsidRPr="00C63117">
        <w:rPr>
          <w:color w:val="auto"/>
        </w:rPr>
        <w:t>Tiago also highlights digital discovery and delivery. Treat these as ways to generate a first trial; they do not establish attachment to the venue. Record how each respondent discovered their last new café and why they returned. This separates social-media attention from a recurring customer relationship.</w:t>
      </w:r>
    </w:p>
    <w:p w14:paraId="74C3F833" w14:textId="77777777" w:rsidR="0093166E" w:rsidRPr="00C63117" w:rsidRDefault="00C63117">
      <w:pPr>
        <w:pStyle w:val="Heading2"/>
        <w:rPr>
          <w:color w:val="auto"/>
        </w:rPr>
      </w:pPr>
      <w:r w:rsidRPr="00C63117">
        <w:rPr>
          <w:color w:val="auto"/>
        </w:rPr>
        <w:t>Additional foodservice context from USDA</w:t>
      </w:r>
    </w:p>
    <w:p w14:paraId="1D15B5EA" w14:textId="77777777" w:rsidR="0093166E" w:rsidRPr="00C63117" w:rsidRDefault="00C63117">
      <w:pPr>
        <w:rPr>
          <w:color w:val="auto"/>
        </w:rPr>
      </w:pPr>
      <w:r w:rsidRPr="00C63117">
        <w:rPr>
          <w:color w:val="auto"/>
        </w:rPr>
        <w:t>The 2025 HRI report describes specialty coffee outlets as popular among younger middle- and high-income consumers, often combining drinks with snacks or baked goods. It also identifies convenient grab-and-go formats and premium bakery growth. This supports testing both a social café occasion and a quick purchase occasion. These are national market observations, not estimates of CORSA’s Jakarta demand. The report’s 2024 market figures should not be presented as current 2026 sales.</w:t>
      </w:r>
    </w:p>
    <w:p w14:paraId="64F08F5F" w14:textId="77777777" w:rsidR="0093166E" w:rsidRPr="00C63117" w:rsidRDefault="00C63117">
      <w:pPr>
        <w:pStyle w:val="Heading2"/>
        <w:rPr>
          <w:color w:val="auto"/>
        </w:rPr>
      </w:pPr>
      <w:r w:rsidRPr="00C63117">
        <w:rPr>
          <w:color w:val="auto"/>
        </w:rPr>
        <w:t>Sources</w:t>
      </w:r>
    </w:p>
    <w:p w14:paraId="7BB926A5" w14:textId="77777777" w:rsidR="0093166E" w:rsidRPr="00C63117" w:rsidRDefault="00C63117">
      <w:pPr>
        <w:spacing w:after="80"/>
        <w:rPr>
          <w:color w:val="auto"/>
        </w:rPr>
      </w:pPr>
      <w:hyperlink r:id="rId10">
        <w:r w:rsidRPr="00C63117">
          <w:rPr>
            <w:color w:val="auto"/>
            <w:sz w:val="19"/>
            <w:u w:val="single"/>
          </w:rPr>
          <w:t>BORDER journal 2025 — Inclusion Coffee Shop as Third Place</w:t>
        </w:r>
      </w:hyperlink>
    </w:p>
    <w:p w14:paraId="090C80CE" w14:textId="77777777" w:rsidR="0093166E" w:rsidRPr="00C63117" w:rsidRDefault="00C63117">
      <w:pPr>
        <w:spacing w:after="80"/>
        <w:rPr>
          <w:color w:val="auto"/>
        </w:rPr>
      </w:pPr>
      <w:hyperlink r:id="rId11">
        <w:r w:rsidRPr="00C63117">
          <w:rPr>
            <w:color w:val="auto"/>
            <w:sz w:val="19"/>
            <w:u w:val="single"/>
          </w:rPr>
          <w:t>UIN Jakarta thesis — Pergeseran Makna Warung Kopi Sebagai Third Place Pada Kalangan Mahasiswa</w:t>
        </w:r>
      </w:hyperlink>
    </w:p>
    <w:p w14:paraId="3FB611DD" w14:textId="77777777" w:rsidR="0093166E" w:rsidRPr="00C63117" w:rsidRDefault="00C63117">
      <w:pPr>
        <w:spacing w:after="80"/>
        <w:rPr>
          <w:color w:val="auto"/>
        </w:rPr>
      </w:pPr>
      <w:r w:rsidRPr="00C63117">
        <w:rPr>
          <w:color w:val="auto"/>
          <w:sz w:val="19"/>
        </w:rPr>
        <w:t>Team research — Tiago Reimann, Customer Behaviour Report, consumer behaviour; Extended Data, p 4.</w:t>
      </w:r>
    </w:p>
    <w:p w14:paraId="46D81983" w14:textId="77777777" w:rsidR="0093166E" w:rsidRPr="00C63117" w:rsidRDefault="00C63117">
      <w:pPr>
        <w:spacing w:after="80"/>
        <w:rPr>
          <w:color w:val="auto"/>
        </w:rPr>
      </w:pPr>
      <w:hyperlink r:id="rId12">
        <w:r w:rsidRPr="00C63117">
          <w:rPr>
            <w:color w:val="auto"/>
            <w:sz w:val="19"/>
            <w:u w:val="single"/>
          </w:rPr>
          <w:t>Jakpat 4 July 2025 — Indonesia 2025 Wellness and Coffee on the Rise</w:t>
        </w:r>
      </w:hyperlink>
    </w:p>
    <w:p w14:paraId="6B578257" w14:textId="77777777" w:rsidR="0093166E" w:rsidRPr="00C63117" w:rsidRDefault="00C63117">
      <w:pPr>
        <w:spacing w:after="80"/>
        <w:rPr>
          <w:color w:val="auto"/>
        </w:rPr>
      </w:pPr>
      <w:hyperlink r:id="rId13">
        <w:r w:rsidRPr="00C63117">
          <w:rPr>
            <w:color w:val="auto"/>
            <w:sz w:val="19"/>
            <w:u w:val="single"/>
          </w:rPr>
          <w:t>USDA FAS — HRI Annual ID2025-0049, 31 December 2025, pp 1 and 3</w:t>
        </w:r>
      </w:hyperlink>
    </w:p>
    <w:p w14:paraId="173035F3" w14:textId="77777777" w:rsidR="0093166E" w:rsidRPr="00C63117" w:rsidRDefault="00C63117">
      <w:pPr>
        <w:pStyle w:val="Heading1"/>
        <w:spacing w:before="360"/>
        <w:rPr>
          <w:color w:val="auto"/>
        </w:rPr>
      </w:pPr>
      <w:r w:rsidRPr="00C63117">
        <w:rPr>
          <w:color w:val="auto"/>
        </w:rPr>
        <w:t>3 Running communities and café gathering places</w:t>
      </w:r>
    </w:p>
    <w:p w14:paraId="2F9265CC" w14:textId="77777777" w:rsidR="0093166E" w:rsidRPr="00C63117" w:rsidRDefault="00C63117">
      <w:pPr>
        <w:spacing w:after="200"/>
        <w:rPr>
          <w:color w:val="auto"/>
        </w:rPr>
      </w:pPr>
      <w:r w:rsidRPr="00C63117">
        <w:rPr>
          <w:i/>
          <w:color w:val="auto"/>
        </w:rPr>
        <w:t>Scope question: What role do premium cafés, healthy food, coffee, social spaces and community-driven brands play in Jakarta?</w:t>
      </w:r>
    </w:p>
    <w:p w14:paraId="1E5817A2" w14:textId="77777777" w:rsidR="0093166E" w:rsidRPr="00C63117" w:rsidRDefault="00C63117">
      <w:pPr>
        <w:rPr>
          <w:color w:val="auto"/>
        </w:rPr>
      </w:pPr>
      <w:r w:rsidRPr="00C63117">
        <w:rPr>
          <w:color w:val="auto"/>
        </w:rPr>
        <w:t xml:space="preserve">Documented examples show how Jakarta cafés become regular gathering places for running communities. These cases </w:t>
      </w:r>
      <w:r w:rsidRPr="00C63117">
        <w:rPr>
          <w:color w:val="auto"/>
        </w:rPr>
        <w:t>demonstrate that the behaviour exists; they do not establish its profitability or the number of customers CORSA could attract.</w:t>
      </w:r>
    </w:p>
    <w:p w14:paraId="348F5122" w14:textId="77777777" w:rsidR="0093166E" w:rsidRPr="00C63117" w:rsidRDefault="00C63117">
      <w:pPr>
        <w:pStyle w:val="Heading2"/>
        <w:rPr>
          <w:color w:val="auto"/>
        </w:rPr>
      </w:pPr>
      <w:r w:rsidRPr="00C63117">
        <w:rPr>
          <w:color w:val="auto"/>
        </w:rPr>
        <w:t>Gudda Coffee in Senayan</w:t>
      </w:r>
    </w:p>
    <w:p w14:paraId="7928506D" w14:textId="77777777" w:rsidR="0093166E" w:rsidRPr="00C63117" w:rsidRDefault="00C63117">
      <w:pPr>
        <w:rPr>
          <w:color w:val="auto"/>
        </w:rPr>
      </w:pPr>
      <w:r w:rsidRPr="00C63117">
        <w:rPr>
          <w:color w:val="auto"/>
        </w:rPr>
        <w:t>The Jakarta Post’s June 2025 article The Coffee Run: A third space for every pace describes RPC Running Club, a group of around 50 members, using Gudda Coffee near Gelora Bung Karno as an unofficial base. WIP Crew also gathered there, citing affordability, other communities and the café’s support for events.</w:t>
      </w:r>
    </w:p>
    <w:p w14:paraId="1AA265F4" w14:textId="77777777" w:rsidR="0093166E" w:rsidRPr="00C63117" w:rsidRDefault="00C63117">
      <w:pPr>
        <w:pStyle w:val="Heading2"/>
        <w:rPr>
          <w:color w:val="auto"/>
        </w:rPr>
      </w:pPr>
      <w:r w:rsidRPr="00C63117">
        <w:rPr>
          <w:color w:val="auto"/>
        </w:rPr>
        <w:t>Kopi Sana near Blok M</w:t>
      </w:r>
    </w:p>
    <w:p w14:paraId="632DFAF5" w14:textId="77777777" w:rsidR="0093166E" w:rsidRPr="00C63117" w:rsidRDefault="00C63117">
      <w:pPr>
        <w:rPr>
          <w:color w:val="auto"/>
        </w:rPr>
      </w:pPr>
      <w:r w:rsidRPr="00C63117">
        <w:rPr>
          <w:color w:val="auto"/>
        </w:rPr>
        <w:t>The same article reports that tinutinut running club ended most Sunday runs at Kopi Sana. Sana connected fitness classes with coffee and organised Sunday runs, after-work jogs and walking activities. This provides a close comparison for a café connected to an active lifestyle.</w:t>
      </w:r>
    </w:p>
    <w:p w14:paraId="7601877B" w14:textId="77777777" w:rsidR="0093166E" w:rsidRPr="00C63117" w:rsidRDefault="00C63117">
      <w:pPr>
        <w:pStyle w:val="Heading2"/>
        <w:rPr>
          <w:color w:val="auto"/>
        </w:rPr>
      </w:pPr>
      <w:r w:rsidRPr="00C63117">
        <w:rPr>
          <w:color w:val="auto"/>
        </w:rPr>
        <w:t>Kopi Api Coffee Roasters in Cikini</w:t>
      </w:r>
    </w:p>
    <w:p w14:paraId="33B76AE7" w14:textId="77777777" w:rsidR="0093166E" w:rsidRPr="00C63117" w:rsidRDefault="00C63117">
      <w:pPr>
        <w:rPr>
          <w:color w:val="auto"/>
        </w:rPr>
      </w:pPr>
      <w:r w:rsidRPr="00C63117">
        <w:rPr>
          <w:color w:val="auto"/>
        </w:rPr>
        <w:t>Running Crews’ profile of Running with Rhyme and Peace lists Thursday runs at 19:00 starting at Kopi Api Coffee Roasters, alongside Sunday sessions at GBK. It illustrates a regular weekday gathering as well as a weekend activity.</w:t>
      </w:r>
    </w:p>
    <w:p w14:paraId="1E8CE514" w14:textId="77777777" w:rsidR="0093166E" w:rsidRPr="00C63117" w:rsidRDefault="00C63117">
      <w:pPr>
        <w:pStyle w:val="Heading2"/>
        <w:rPr>
          <w:color w:val="auto"/>
        </w:rPr>
      </w:pPr>
      <w:r w:rsidRPr="00C63117">
        <w:rPr>
          <w:color w:val="auto"/>
        </w:rPr>
        <w:t>A small professional community example</w:t>
      </w:r>
    </w:p>
    <w:p w14:paraId="1E3CFCD8" w14:textId="77777777" w:rsidR="0093166E" w:rsidRPr="00C63117" w:rsidRDefault="00C63117">
      <w:pPr>
        <w:rPr>
          <w:color w:val="auto"/>
        </w:rPr>
      </w:pPr>
      <w:r w:rsidRPr="00C63117">
        <w:rPr>
          <w:color w:val="auto"/>
        </w:rPr>
        <w:t>Indonesia’s tax consultants’ association, IKPI, documented a 12-person running gathering on 23 November 2025. Participants met at Gudda Coffee and ran around GBK. This is a concrete example of professional life, physical activity and a café meeting point overlapping.</w:t>
      </w:r>
    </w:p>
    <w:p w14:paraId="24BCB660" w14:textId="77777777" w:rsidR="0093166E" w:rsidRPr="00C63117" w:rsidRDefault="00C63117">
      <w:pPr>
        <w:pStyle w:val="Heading2"/>
        <w:rPr>
          <w:color w:val="auto"/>
        </w:rPr>
      </w:pPr>
      <w:r w:rsidRPr="00C63117">
        <w:rPr>
          <w:color w:val="auto"/>
        </w:rPr>
        <w:t>Implications for CORSA</w:t>
      </w:r>
    </w:p>
    <w:p w14:paraId="76AD346C" w14:textId="77777777" w:rsidR="0093166E" w:rsidRPr="00C63117" w:rsidRDefault="00C63117">
      <w:pPr>
        <w:rPr>
          <w:color w:val="auto"/>
        </w:rPr>
      </w:pPr>
      <w:r w:rsidRPr="00C63117">
        <w:rPr>
          <w:color w:val="auto"/>
        </w:rPr>
        <w:t>Test a recurring activity with an existing community and measure purchases, spending and return visits. Attendance alone does not establish a viable customer base. Affordability, a welcoming atmosphere and personal relationships may matter as much as the venue’s appearance.</w:t>
      </w:r>
    </w:p>
    <w:p w14:paraId="6DC1123C" w14:textId="77777777" w:rsidR="0093166E" w:rsidRPr="00C63117" w:rsidRDefault="00C63117">
      <w:pPr>
        <w:rPr>
          <w:color w:val="auto"/>
        </w:rPr>
      </w:pPr>
      <w:r w:rsidRPr="00C63117">
        <w:rPr>
          <w:color w:val="auto"/>
        </w:rPr>
        <w:t>Keep the audience broader than Gen Z: the Jakarta Post described RPC members as mostly in their 30s–50s. Beginner-friendly activities and opportunities to socialise afterwards are sensible hypotheses to test. Confirm current meeting arrangements before proposing contact; the examples document activity at the time of reporting.</w:t>
      </w:r>
    </w:p>
    <w:p w14:paraId="22E58381" w14:textId="77777777" w:rsidR="0093166E" w:rsidRPr="00C63117" w:rsidRDefault="00C63117">
      <w:pPr>
        <w:pStyle w:val="Heading2"/>
        <w:rPr>
          <w:color w:val="auto"/>
        </w:rPr>
      </w:pPr>
      <w:r w:rsidRPr="00C63117">
        <w:rPr>
          <w:color w:val="auto"/>
        </w:rPr>
        <w:t>What the team research adds to the community proposition</w:t>
      </w:r>
    </w:p>
    <w:p w14:paraId="59F2C181" w14:textId="77777777" w:rsidR="0093166E" w:rsidRPr="00C63117" w:rsidRDefault="00C63117">
      <w:pPr>
        <w:rPr>
          <w:color w:val="auto"/>
        </w:rPr>
      </w:pPr>
      <w:r w:rsidRPr="00C63117">
        <w:rPr>
          <w:color w:val="auto"/>
        </w:rPr>
        <w:t>Tiago places running and padel communities among the strongest potential segments. The café examples above provide direct evidence of running-related gathering; the padel opportunity still needs equivalent local validation. Interview organisers about group size, preferred times, existing café relationships and what members actually buy after activity.</w:t>
      </w:r>
    </w:p>
    <w:p w14:paraId="50F6634E" w14:textId="77777777" w:rsidR="0093166E" w:rsidRPr="00C63117" w:rsidRDefault="00C63117">
      <w:pPr>
        <w:rPr>
          <w:color w:val="auto"/>
        </w:rPr>
      </w:pPr>
      <w:r w:rsidRPr="00C63117">
        <w:rPr>
          <w:color w:val="auto"/>
        </w:rPr>
        <w:t>Paul’s cultural framework suggests investigating group belonging. The observable club practices are more useful evidence for CORSA than assuming that all Indonesians behave alike because of a national culture score. Test an open, beginner-friendly format where non-athletes and friends can participate too.</w:t>
      </w:r>
    </w:p>
    <w:p w14:paraId="174C8154" w14:textId="77777777" w:rsidR="0093166E" w:rsidRPr="00C63117" w:rsidRDefault="00C63117">
      <w:pPr>
        <w:rPr>
          <w:color w:val="auto"/>
        </w:rPr>
      </w:pPr>
      <w:r w:rsidRPr="00C63117">
        <w:rPr>
          <w:color w:val="auto"/>
        </w:rPr>
        <w:t>A practical test from Tiago’s extended report is two community events with trackable offers. Record attendance, proportion purchasing, average spend and subsequent visits outside the event. Distinguish new customers from existing customers attending with friends. This will show whether community activity supports repeat café use; attendance and social engagement alone do not answer that question.</w:t>
      </w:r>
    </w:p>
    <w:p w14:paraId="6D0A2CC2" w14:textId="77777777" w:rsidR="0093166E" w:rsidRPr="00C63117" w:rsidRDefault="00C63117">
      <w:pPr>
        <w:pStyle w:val="Heading2"/>
        <w:rPr>
          <w:color w:val="auto"/>
        </w:rPr>
      </w:pPr>
      <w:r w:rsidRPr="00C63117">
        <w:rPr>
          <w:color w:val="auto"/>
        </w:rPr>
        <w:t>Sources</w:t>
      </w:r>
    </w:p>
    <w:p w14:paraId="3A6405FD" w14:textId="77777777" w:rsidR="0093166E" w:rsidRPr="00C63117" w:rsidRDefault="00C63117">
      <w:pPr>
        <w:spacing w:after="80"/>
        <w:rPr>
          <w:color w:val="auto"/>
        </w:rPr>
      </w:pPr>
      <w:hyperlink r:id="rId14">
        <w:r w:rsidRPr="00C63117">
          <w:rPr>
            <w:color w:val="auto"/>
            <w:sz w:val="19"/>
            <w:u w:val="single"/>
          </w:rPr>
          <w:t>The Jakarta Post 4 June 2025 — The Coffee Run A third space for every pace</w:t>
        </w:r>
      </w:hyperlink>
    </w:p>
    <w:p w14:paraId="2A4689F6" w14:textId="77777777" w:rsidR="0093166E" w:rsidRPr="00C63117" w:rsidRDefault="00C63117">
      <w:pPr>
        <w:spacing w:after="80"/>
        <w:rPr>
          <w:color w:val="auto"/>
        </w:rPr>
      </w:pPr>
      <w:hyperlink r:id="rId15">
        <w:r w:rsidRPr="00C63117">
          <w:rPr>
            <w:color w:val="auto"/>
            <w:sz w:val="19"/>
            <w:u w:val="single"/>
          </w:rPr>
          <w:t>Running Crews — Running with Rhyme and Peace Finding Joy on Jakarta Streets</w:t>
        </w:r>
      </w:hyperlink>
    </w:p>
    <w:p w14:paraId="6F276E0B" w14:textId="77777777" w:rsidR="0093166E" w:rsidRPr="00C63117" w:rsidRDefault="00C63117">
      <w:pPr>
        <w:spacing w:after="80"/>
        <w:rPr>
          <w:color w:val="auto"/>
        </w:rPr>
      </w:pPr>
      <w:hyperlink r:id="rId16">
        <w:r w:rsidRPr="00C63117">
          <w:rPr>
            <w:color w:val="auto"/>
            <w:sz w:val="19"/>
            <w:u w:val="single"/>
          </w:rPr>
          <w:t>IKPI 2025 — Runner Community 5K gathering at Gudda Coffee and GBK</w:t>
        </w:r>
      </w:hyperlink>
    </w:p>
    <w:p w14:paraId="56B5875E" w14:textId="77777777" w:rsidR="0093166E" w:rsidRPr="00C63117" w:rsidRDefault="00C63117">
      <w:pPr>
        <w:spacing w:after="80"/>
        <w:rPr>
          <w:color w:val="auto"/>
        </w:rPr>
      </w:pPr>
      <w:r w:rsidRPr="00C63117">
        <w:rPr>
          <w:color w:val="auto"/>
          <w:sz w:val="19"/>
        </w:rPr>
        <w:t>Team research — Tiago Reimann, Customer Behaviour Report, communities and validation; Extended Data, pp 6–8 and 10. Paul, Report 1, PDF p 3.</w:t>
      </w:r>
    </w:p>
    <w:p w14:paraId="0D17063B" w14:textId="77777777" w:rsidR="0093166E" w:rsidRPr="00C63117" w:rsidRDefault="00C63117">
      <w:pPr>
        <w:pStyle w:val="Heading1"/>
        <w:spacing w:before="360"/>
        <w:rPr>
          <w:color w:val="auto"/>
        </w:rPr>
      </w:pPr>
      <w:r w:rsidRPr="00C63117">
        <w:rPr>
          <w:color w:val="auto"/>
        </w:rPr>
        <w:t>4 Cultural adaptation</w:t>
      </w:r>
    </w:p>
    <w:p w14:paraId="4756BA2F" w14:textId="77777777" w:rsidR="0093166E" w:rsidRPr="00C63117" w:rsidRDefault="00C63117">
      <w:pPr>
        <w:spacing w:after="200"/>
        <w:rPr>
          <w:color w:val="auto"/>
        </w:rPr>
      </w:pPr>
      <w:r w:rsidRPr="00C63117">
        <w:rPr>
          <w:i/>
          <w:color w:val="auto"/>
        </w:rPr>
        <w:t>Scope question: Which cultural assumptions need to be tested before execution?</w:t>
      </w:r>
    </w:p>
    <w:p w14:paraId="6531721E" w14:textId="77777777" w:rsidR="0093166E" w:rsidRPr="00C63117" w:rsidRDefault="00C63117">
      <w:pPr>
        <w:pStyle w:val="Heading2"/>
        <w:rPr>
          <w:color w:val="auto"/>
        </w:rPr>
      </w:pPr>
      <w:r w:rsidRPr="00C63117">
        <w:rPr>
          <w:color w:val="auto"/>
        </w:rPr>
        <w:t>Halal assurance and consumer trust</w:t>
      </w:r>
    </w:p>
    <w:p w14:paraId="34F3C8F5" w14:textId="77777777" w:rsidR="0093166E" w:rsidRPr="00C63117" w:rsidRDefault="00C63117">
      <w:pPr>
        <w:rPr>
          <w:color w:val="auto"/>
        </w:rPr>
      </w:pPr>
      <w:r w:rsidRPr="00C63117">
        <w:rPr>
          <w:color w:val="auto"/>
        </w:rPr>
        <w:t>A 2025 study by Salman Romizul Fikri and Gusniarti surveyed 100 East Jakarta respondents about halal literacy, certification and intention to purchase food and beverages. It found statistically significant relationships between halal literacy and purchase intention, and between halal certification and purchase intention.</w:t>
      </w:r>
    </w:p>
    <w:p w14:paraId="0771339A" w14:textId="77777777" w:rsidR="0093166E" w:rsidRPr="00C63117" w:rsidRDefault="00C63117">
      <w:pPr>
        <w:rPr>
          <w:color w:val="auto"/>
        </w:rPr>
      </w:pPr>
      <w:r w:rsidRPr="00C63117">
        <w:rPr>
          <w:color w:val="auto"/>
        </w:rPr>
        <w:t>For CORSA, this supports treating halal assurance as part of consumer trust and considering it early in menu design and ingredient sourcing. Relevant ingredients include meat, cheese, sauces and drink additives. Ask target consumers what assurance they expect and whether certification affects their choice of venue.</w:t>
      </w:r>
    </w:p>
    <w:p w14:paraId="1CD55132" w14:textId="77777777" w:rsidR="0093166E" w:rsidRPr="00C63117" w:rsidRDefault="00C63117">
      <w:pPr>
        <w:rPr>
          <w:color w:val="auto"/>
        </w:rPr>
      </w:pPr>
      <w:r w:rsidRPr="00C63117">
        <w:rPr>
          <w:color w:val="auto"/>
        </w:rPr>
        <w:t>The study does not establish the percentage of CORSA’s potential customers who would reject an uncertified venue. Its East Jakarta sample should not automatically represent other parts of the city. It also does not determine the legal requirements applicable to CORSA’s operation; those require separate confirmation.</w:t>
      </w:r>
    </w:p>
    <w:p w14:paraId="3E98B21F" w14:textId="77777777" w:rsidR="0093166E" w:rsidRPr="00C63117" w:rsidRDefault="00C63117">
      <w:pPr>
        <w:pStyle w:val="Heading2"/>
        <w:rPr>
          <w:color w:val="auto"/>
        </w:rPr>
      </w:pPr>
      <w:r w:rsidRPr="00C63117">
        <w:rPr>
          <w:color w:val="auto"/>
        </w:rPr>
        <w:t>Halal regulation update October 2026</w:t>
      </w:r>
    </w:p>
    <w:p w14:paraId="02F629A1" w14:textId="77777777" w:rsidR="0093166E" w:rsidRPr="00C63117" w:rsidRDefault="00C63117">
      <w:pPr>
        <w:rPr>
          <w:color w:val="auto"/>
        </w:rPr>
      </w:pPr>
      <w:r w:rsidRPr="00C63117">
        <w:rPr>
          <w:color w:val="auto"/>
        </w:rPr>
        <w:t xml:space="preserve">The two USDA reports are legitimate and suitable for this research. Their titles, dates and report numbers </w:t>
      </w:r>
      <w:r w:rsidRPr="00C63117">
        <w:rPr>
          <w:color w:val="auto"/>
        </w:rPr>
        <w:t>match publications in the USDA Foreign Agricultural Service GAIN repository. Indonesia’s Expanding Halal Standards with Trade Impacts on the Horizon (ID2025-0035, 27 August 2025) was prepared by Titi Rahayu and approved by Kristina Schammel. Food Service – Hotel Restaurant Institutional Annual (ID2025-0049, 31 December 2025) was prepared by Novi Yuningsih and approved by Lisa Ahramjian.</w:t>
      </w:r>
    </w:p>
    <w:p w14:paraId="38A7BB36" w14:textId="77777777" w:rsidR="0093166E" w:rsidRPr="00C63117" w:rsidRDefault="00C63117">
      <w:pPr>
        <w:rPr>
          <w:color w:val="auto"/>
        </w:rPr>
      </w:pPr>
      <w:r w:rsidRPr="00C63117">
        <w:rPr>
          <w:color w:val="auto"/>
        </w:rPr>
        <w:t>Use the first for regulatory background and the second for foodservice context. They are professional trade assessments aimed at U.S. exporters, not peer-reviewed consumer studies or Indonesian legislation. The HRI report refers back to the halal report, so their halal statements are not independent confirmation. Current BPJPH guidance takes precedence over their 2025 summaries.</w:t>
      </w:r>
    </w:p>
    <w:p w14:paraId="15C5E987" w14:textId="77777777" w:rsidR="0093166E" w:rsidRPr="00C63117" w:rsidRDefault="00C63117">
      <w:pPr>
        <w:pStyle w:val="Heading2"/>
        <w:rPr>
          <w:color w:val="auto"/>
        </w:rPr>
      </w:pPr>
      <w:r w:rsidRPr="00C63117">
        <w:rPr>
          <w:color w:val="auto"/>
        </w:rPr>
        <w:t>What changes in October 2026</w:t>
      </w:r>
    </w:p>
    <w:p w14:paraId="649CA187" w14:textId="77777777" w:rsidR="0093166E" w:rsidRPr="00C63117" w:rsidRDefault="00C63117">
      <w:pPr>
        <w:rPr>
          <w:color w:val="auto"/>
        </w:rPr>
      </w:pPr>
      <w:r w:rsidRPr="00C63117">
        <w:rPr>
          <w:color w:val="auto"/>
        </w:rPr>
        <w:t>The framework originates in Law 33/2014 and is implemented through Government Regulation 42/2024. It is a phased requirement, not a new rule applying to every business for the first time in 2026. BPJPH states that covered food, drink, ingredients and slaughter-related products from medium and large domestic businesses were already subject to mandatory certification from 18 October 2024.</w:t>
      </w:r>
    </w:p>
    <w:p w14:paraId="67EDAECD" w14:textId="77777777" w:rsidR="0093166E" w:rsidRPr="00C63117" w:rsidRDefault="00C63117">
      <w:pPr>
        <w:rPr>
          <w:color w:val="auto"/>
        </w:rPr>
      </w:pPr>
      <w:r w:rsidRPr="00C63117">
        <w:rPr>
          <w:color w:val="auto"/>
        </w:rPr>
        <w:t>For micro and small businesses, the transition ends on 17 October 2026; the next phase takes effect on 18 October 2026. BPJPH’s 2026 guidance also includes imported products within the expanded coverage. The USDA reports use 17 October as the milestone; the distinction between the deadline and the following effective date explains the one-day difference.</w:t>
      </w:r>
    </w:p>
    <w:p w14:paraId="2457EADB" w14:textId="77777777" w:rsidR="0093166E" w:rsidRPr="00C63117" w:rsidRDefault="00C63117">
      <w:pPr>
        <w:rPr>
          <w:color w:val="auto"/>
        </w:rPr>
      </w:pPr>
      <w:r w:rsidRPr="00C63117">
        <w:rPr>
          <w:color w:val="auto"/>
        </w:rPr>
        <w:t>As checked on 12 October 2026, BPJPH’s statement of 9 October confirms that implementation will proceed on 18 October without postponement. It also says special provisions are being prepared for certain situations, notably involving micro and small businesses and imports. These pending provisions should not be treated as an already-granted exemption for CORSA or its suppliers.</w:t>
      </w:r>
    </w:p>
    <w:p w14:paraId="5BD99B1D" w14:textId="77777777" w:rsidR="0093166E" w:rsidRPr="00C63117" w:rsidRDefault="00C63117">
      <w:pPr>
        <w:pStyle w:val="Heading2"/>
        <w:rPr>
          <w:color w:val="auto"/>
        </w:rPr>
      </w:pPr>
      <w:r w:rsidRPr="00C63117">
        <w:rPr>
          <w:color w:val="auto"/>
        </w:rPr>
        <w:t>Why this matters for the CORSA concept</w:t>
      </w:r>
    </w:p>
    <w:p w14:paraId="46209348" w14:textId="77777777" w:rsidR="0093166E" w:rsidRPr="00C63117" w:rsidRDefault="00C63117">
      <w:pPr>
        <w:rPr>
          <w:color w:val="auto"/>
        </w:rPr>
      </w:pPr>
      <w:r w:rsidRPr="00C63117">
        <w:rPr>
          <w:color w:val="auto"/>
        </w:rPr>
        <w:t>The halal report explicitly includes food and beverage preparation in restaurants and cafés among covered categories (Table 1, p 3). Halal therefore belongs in CORSA’s launch planning as well as its consumer-trust proposition. Buying certified ingredients alone does not establish certification of the finished menu and preparation process. BPJPH’s restaurant guidance stresses consistent controls over ingredients and production at each outlet.</w:t>
      </w:r>
    </w:p>
    <w:p w14:paraId="6ABF12A3" w14:textId="77777777" w:rsidR="0093166E" w:rsidRPr="00C63117" w:rsidRDefault="00C63117">
      <w:pPr>
        <w:rPr>
          <w:color w:val="auto"/>
        </w:rPr>
      </w:pPr>
      <w:r w:rsidRPr="00C63117">
        <w:rPr>
          <w:color w:val="auto"/>
        </w:rPr>
        <w:t>For menu adaptation, check the documentation for meat, cheese and its enzymes, sauces, stocks, flavourings and functional-drink additives. Traceability, supplier substitutions and preparation practices matter alongside the recipe. An imported ingredient’s certification route and recognition need checking with the importer; the report’s U.S. certifying-body instructions should not automatically be applied to Swiss or Italian suppliers.</w:t>
      </w:r>
    </w:p>
    <w:p w14:paraId="3F3ADD1E" w14:textId="77777777" w:rsidR="0093166E" w:rsidRPr="00C63117" w:rsidRDefault="00C63117">
      <w:pPr>
        <w:rPr>
          <w:color w:val="auto"/>
        </w:rPr>
      </w:pPr>
      <w:r w:rsidRPr="00C63117">
        <w:rPr>
          <w:color w:val="auto"/>
        </w:rPr>
        <w:t>The rule does not mean that every ingredient needs its own certificate or that all non-halal food is banned. The USDA report describes exemptions for specified inherently halal or minimally processed ingredients, subject to conditions. It also distinguishes certification exemptions from labelling exemptions. BPJPH confirms that non-halal products may remain in trade with clear non-halal information, subject to applicable rules. “No pork” or “vegetarian” should not be presented as proof of halal certificatio</w:t>
      </w:r>
      <w:r w:rsidRPr="00C63117">
        <w:rPr>
          <w:color w:val="auto"/>
        </w:rPr>
        <w:t>n.</w:t>
      </w:r>
    </w:p>
    <w:p w14:paraId="5041A2F0" w14:textId="77777777" w:rsidR="0093166E" w:rsidRPr="00C63117" w:rsidRDefault="00C63117">
      <w:pPr>
        <w:pStyle w:val="Heading2"/>
        <w:rPr>
          <w:color w:val="auto"/>
        </w:rPr>
      </w:pPr>
      <w:r w:rsidRPr="00C63117">
        <w:rPr>
          <w:color w:val="auto"/>
        </w:rPr>
        <w:t>Implication for Matthieu’s research</w:t>
      </w:r>
    </w:p>
    <w:p w14:paraId="01149F44" w14:textId="77777777" w:rsidR="0093166E" w:rsidRPr="00C63117" w:rsidRDefault="00C63117">
      <w:pPr>
        <w:rPr>
          <w:color w:val="auto"/>
        </w:rPr>
      </w:pPr>
      <w:r w:rsidRPr="00C63117">
        <w:rPr>
          <w:color w:val="auto"/>
        </w:rPr>
        <w:t>Ask customers what evidence of halal status makes them comfortable choosing CORSA for themselves and their group, and where they expect to see it. Recommendation: plan a halal-certified offer for the intended audience, with clear ingredient communication. Certification can reduce uncertainty, but it does not by itself demonstrate taste appeal, a price premium or repeat demand.</w:t>
      </w:r>
    </w:p>
    <w:p w14:paraId="0F2EB186" w14:textId="77777777" w:rsidR="0093166E" w:rsidRPr="00C63117" w:rsidRDefault="00C63117">
      <w:pPr>
        <w:rPr>
          <w:color w:val="auto"/>
        </w:rPr>
      </w:pPr>
      <w:r w:rsidRPr="00C63117">
        <w:rPr>
          <w:color w:val="auto"/>
        </w:rPr>
        <w:t>Hand the operational questions to CORSA: confirm the Indonesian business classification and certification route; map the menu, suppliers and preparation process; and establish the cost and lead time with BPJPH or an authorised halal inspection body. A small first outlet does not by itself establish eligibility for the microbusiness route. Recheck the pending implementation provisions before finalising launch assumptions.</w:t>
      </w:r>
    </w:p>
    <w:p w14:paraId="0D5D0F8A" w14:textId="77777777" w:rsidR="0093166E" w:rsidRPr="00C63117" w:rsidRDefault="00C63117">
      <w:pPr>
        <w:pStyle w:val="Heading2"/>
        <w:rPr>
          <w:color w:val="auto"/>
        </w:rPr>
      </w:pPr>
      <w:r w:rsidRPr="00C63117">
        <w:rPr>
          <w:color w:val="auto"/>
        </w:rPr>
        <w:t>Taste comfort and price</w:t>
      </w:r>
    </w:p>
    <w:p w14:paraId="4629E667" w14:textId="77777777" w:rsidR="0093166E" w:rsidRPr="00C63117" w:rsidRDefault="00C63117">
      <w:pPr>
        <w:rPr>
          <w:color w:val="auto"/>
        </w:rPr>
      </w:pPr>
      <w:r w:rsidRPr="00C63117">
        <w:rPr>
          <w:color w:val="auto"/>
        </w:rPr>
        <w:t>A 2019 Universitas Jenderal Soedirman thesis studied purchasing decisions across ten cafés on Jalan Cipete Raya in South Jakarta. Distinctive taste, recommendations from friends, a comfortable setting, supporting facilities and product ingredients featured in purchasing decisions. Higher prices were associated with weaker purchasing decisions, while income and product variety had positive associations.</w:t>
      </w:r>
    </w:p>
    <w:p w14:paraId="5078E7A1" w14:textId="77777777" w:rsidR="0093166E" w:rsidRPr="00C63117" w:rsidRDefault="00C63117">
      <w:pPr>
        <w:rPr>
          <w:color w:val="auto"/>
        </w:rPr>
      </w:pPr>
      <w:r w:rsidRPr="00C63117">
        <w:rPr>
          <w:color w:val="auto"/>
        </w:rPr>
        <w:t>For CORSA, the implication is to test the actual menu and experience locally. Assess flavour, portions, sweetness, price and the setting together. Preserve the brand’s identity while identifying which details customers would change. These findings do not justify generalisations that all Jakarta consumers prefer sweet drinks or spicy food.</w:t>
      </w:r>
    </w:p>
    <w:p w14:paraId="495AE46E" w14:textId="77777777" w:rsidR="0093166E" w:rsidRPr="00C63117" w:rsidRDefault="00C63117">
      <w:pPr>
        <w:rPr>
          <w:color w:val="auto"/>
        </w:rPr>
      </w:pPr>
      <w:r w:rsidRPr="00C63117">
        <w:rPr>
          <w:color w:val="auto"/>
        </w:rPr>
        <w:t>This evidence is older and limited to one café corridor. It identifies relevant questions but cannot establish current prices or preferred CORSA recipes. Taste adaptation needs further development through recent evidence and local product testing.</w:t>
      </w:r>
    </w:p>
    <w:p w14:paraId="3EFA1ABD" w14:textId="77777777" w:rsidR="0093166E" w:rsidRPr="00C63117" w:rsidRDefault="00C63117">
      <w:pPr>
        <w:pStyle w:val="Heading2"/>
        <w:rPr>
          <w:color w:val="auto"/>
        </w:rPr>
      </w:pPr>
      <w:r w:rsidRPr="00C63117">
        <w:rPr>
          <w:color w:val="auto"/>
        </w:rPr>
        <w:t>Questions for the next stage</w:t>
      </w:r>
    </w:p>
    <w:p w14:paraId="1BE0A924" w14:textId="77777777" w:rsidR="0093166E" w:rsidRPr="00C63117" w:rsidRDefault="00C63117">
      <w:pPr>
        <w:pStyle w:val="ListBullet"/>
        <w:rPr>
          <w:color w:val="auto"/>
        </w:rPr>
      </w:pPr>
      <w:r w:rsidRPr="00C63117">
        <w:rPr>
          <w:color w:val="auto"/>
        </w:rPr>
        <w:t>Which dishes and drinks would customers buy repeatedly, rather than try once?</w:t>
      </w:r>
    </w:p>
    <w:p w14:paraId="14C593CF" w14:textId="77777777" w:rsidR="0093166E" w:rsidRPr="00C63117" w:rsidRDefault="00C63117">
      <w:pPr>
        <w:pStyle w:val="ListBullet"/>
        <w:rPr>
          <w:color w:val="auto"/>
        </w:rPr>
      </w:pPr>
      <w:r w:rsidRPr="00C63117">
        <w:rPr>
          <w:color w:val="auto"/>
        </w:rPr>
        <w:t>What do customers mean by healthy food: lighter portions, freshness, protein, lower sugar or another benefit?</w:t>
      </w:r>
    </w:p>
    <w:p w14:paraId="7AC43BD8" w14:textId="77777777" w:rsidR="0093166E" w:rsidRPr="00C63117" w:rsidRDefault="00C63117">
      <w:pPr>
        <w:pStyle w:val="ListBullet"/>
        <w:rPr>
          <w:color w:val="auto"/>
        </w:rPr>
      </w:pPr>
      <w:r w:rsidRPr="00C63117">
        <w:rPr>
          <w:color w:val="auto"/>
        </w:rPr>
        <w:t>How do customers react to the Italian racing identity, and does it feel welcoming and relevant?</w:t>
      </w:r>
    </w:p>
    <w:p w14:paraId="5538D0E4" w14:textId="77777777" w:rsidR="0093166E" w:rsidRPr="00C63117" w:rsidRDefault="00C63117">
      <w:pPr>
        <w:pStyle w:val="ListBullet"/>
        <w:rPr>
          <w:color w:val="auto"/>
        </w:rPr>
      </w:pPr>
      <w:r w:rsidRPr="00C63117">
        <w:rPr>
          <w:color w:val="auto"/>
        </w:rPr>
        <w:t>What halal assurance, flavour choices and price levels are expected for the intended occasion?</w:t>
      </w:r>
    </w:p>
    <w:p w14:paraId="7FB2AB97" w14:textId="77777777" w:rsidR="0093166E" w:rsidRPr="00C63117" w:rsidRDefault="00C63117">
      <w:pPr>
        <w:pStyle w:val="Heading2"/>
        <w:rPr>
          <w:color w:val="auto"/>
        </w:rPr>
      </w:pPr>
      <w:r w:rsidRPr="00C63117">
        <w:rPr>
          <w:color w:val="auto"/>
        </w:rPr>
        <w:t>Rice and pasta as meal choices</w:t>
      </w:r>
    </w:p>
    <w:p w14:paraId="046DCE39" w14:textId="77777777" w:rsidR="0093166E" w:rsidRPr="00C63117" w:rsidRDefault="00C63117">
      <w:pPr>
        <w:rPr>
          <w:color w:val="auto"/>
        </w:rPr>
      </w:pPr>
      <w:r w:rsidRPr="00C63117">
        <w:rPr>
          <w:color w:val="auto"/>
        </w:rPr>
        <w:t>Paul identifies rice-based meal habits as a possible challenge for CORSA’s pasta proposition. Jakpat’s 2025 health survey of 601 respondents reports that 62% consume rice daily. This supports testing pasta as a regular meal, but daily rice consumption does not imply rejection of wheat or pasta. Paul’s rice share of a food expenditure basket is also not the share of meals containing rice.</w:t>
      </w:r>
    </w:p>
    <w:p w14:paraId="038D18AF" w14:textId="77777777" w:rsidR="0093166E" w:rsidRPr="00C63117" w:rsidRDefault="00C63117">
      <w:pPr>
        <w:rPr>
          <w:color w:val="auto"/>
        </w:rPr>
      </w:pPr>
      <w:r w:rsidRPr="00C63117">
        <w:rPr>
          <w:color w:val="auto"/>
        </w:rPr>
        <w:t xml:space="preserve">Ask when pasta feels appropriate: a weekday lunch, an occasional treat, a </w:t>
      </w:r>
      <w:r w:rsidRPr="00C63117">
        <w:rPr>
          <w:color w:val="auto"/>
        </w:rPr>
        <w:t>post-workout meal or dinner with friends. Test fillingness, portion size and perceived value alongside flavour. Compare core recipes with a few locally adapted sauces or protein options; include a rice or grain alternative as an exploratory comparison, not an already-decided menu change.</w:t>
      </w:r>
    </w:p>
    <w:p w14:paraId="56F898FC" w14:textId="77777777" w:rsidR="0093166E" w:rsidRPr="00C63117" w:rsidRDefault="00C63117">
      <w:pPr>
        <w:pStyle w:val="Heading2"/>
        <w:rPr>
          <w:color w:val="auto"/>
        </w:rPr>
      </w:pPr>
      <w:r w:rsidRPr="00C63117">
        <w:rPr>
          <w:color w:val="auto"/>
        </w:rPr>
        <w:t>Recent evidence on taste and value</w:t>
      </w:r>
    </w:p>
    <w:p w14:paraId="1A11EA38" w14:textId="77777777" w:rsidR="0093166E" w:rsidRPr="00C63117" w:rsidRDefault="00C63117">
      <w:pPr>
        <w:rPr>
          <w:color w:val="auto"/>
        </w:rPr>
      </w:pPr>
      <w:r w:rsidRPr="00C63117">
        <w:rPr>
          <w:color w:val="auto"/>
        </w:rPr>
        <w:t>Jakpat’s Consumer Insights Local Food and Beverage Market surveyed 995 people across eight urban areas in Java in September 2025. Its public summary identifies affordability and flavour as leading venue-choice factors. Tiago reports price at 60% and taste at 59%. The evidence is a useful regional proxy, not a representative survey of CORSA’s Jakarta professionals.</w:t>
      </w:r>
    </w:p>
    <w:p w14:paraId="3C5324AF" w14:textId="77777777" w:rsidR="0093166E" w:rsidRPr="00C63117" w:rsidRDefault="00C63117">
      <w:pPr>
        <w:rPr>
          <w:color w:val="auto"/>
        </w:rPr>
      </w:pPr>
      <w:r w:rsidRPr="00C63117">
        <w:rPr>
          <w:color w:val="auto"/>
        </w:rPr>
        <w:t>Tiago’s analysis of 3,061 Google reviews across 36 Jakarta Italian and pasta restaurants identifies flavour and slow service as recurring critical themes. This is a team analysis of self-selected reviews, not a consumer survey; the underlying review data and coding were not supplied with the reports. Use the themes to shape product and service tests, rather than as population complaint rates.</w:t>
      </w:r>
    </w:p>
    <w:p w14:paraId="5CB32C35" w14:textId="77777777" w:rsidR="0093166E" w:rsidRPr="00C63117" w:rsidRDefault="00C63117">
      <w:pPr>
        <w:pStyle w:val="Heading2"/>
        <w:rPr>
          <w:color w:val="auto"/>
        </w:rPr>
      </w:pPr>
      <w:r w:rsidRPr="00C63117">
        <w:rPr>
          <w:color w:val="auto"/>
        </w:rPr>
        <w:t>Healthy food requires credible benefits and acceptable value</w:t>
      </w:r>
    </w:p>
    <w:p w14:paraId="60B3D6E7" w14:textId="77777777" w:rsidR="0093166E" w:rsidRPr="00C63117" w:rsidRDefault="00C63117">
      <w:pPr>
        <w:rPr>
          <w:color w:val="auto"/>
        </w:rPr>
      </w:pPr>
      <w:r w:rsidRPr="00C63117">
        <w:rPr>
          <w:color w:val="auto"/>
        </w:rPr>
        <w:t xml:space="preserve">NIQ’s July 2025 Indonesia release reports that 48% would pay over 10% more for food products with enhanced nutritional </w:t>
      </w:r>
      <w:r w:rsidRPr="00C63117">
        <w:rPr>
          <w:color w:val="auto"/>
        </w:rPr>
        <w:t>benefits, while 19% would pay 20% more. Cost was a barrier to healthier living for 43%. The survey reflects adult grocery shoppers nationally; this is stated willingness for food products, not a measured price ceiling for CORSA restaurant meals.</w:t>
      </w:r>
    </w:p>
    <w:p w14:paraId="6E483A1A" w14:textId="77777777" w:rsidR="0093166E" w:rsidRPr="00C63117" w:rsidRDefault="00C63117">
      <w:pPr>
        <w:rPr>
          <w:color w:val="auto"/>
        </w:rPr>
      </w:pPr>
      <w:r w:rsidRPr="00C63117">
        <w:rPr>
          <w:color w:val="auto"/>
        </w:rPr>
        <w:t>For CORSA, test specific benefits such as protein, vegetables, freshness and adjustable sweetness. Make ingredient information clear and avoid relying on an undefined “healthy” promise. Measure preference first, then acceptance of realistic menu prices. A health benefit should not be assumed to compensate for an unsatisfying taste or portion.</w:t>
      </w:r>
    </w:p>
    <w:p w14:paraId="63E9DDA5" w14:textId="77777777" w:rsidR="0093166E" w:rsidRPr="00C63117" w:rsidRDefault="00C63117">
      <w:pPr>
        <w:pStyle w:val="Heading2"/>
        <w:rPr>
          <w:color w:val="auto"/>
        </w:rPr>
      </w:pPr>
      <w:r w:rsidRPr="00C63117">
        <w:rPr>
          <w:color w:val="auto"/>
        </w:rPr>
        <w:t>Group occasions and cultural interpretation</w:t>
      </w:r>
    </w:p>
    <w:p w14:paraId="1DE8F9DB" w14:textId="77777777" w:rsidR="0093166E" w:rsidRPr="00C63117" w:rsidRDefault="00C63117">
      <w:pPr>
        <w:keepLines/>
        <w:rPr>
          <w:color w:val="auto"/>
        </w:rPr>
      </w:pPr>
      <w:r w:rsidRPr="00C63117">
        <w:rPr>
          <w:color w:val="auto"/>
        </w:rPr>
        <w:t>The team reports flag Ramadan as a relevant occasion. Ask target customers whether and how their routines change, including evening group meals and takeaway around breaking the fast. Assess event timing and group ordering with local participants; do not assume every customer fasts or that Ramadan automatically increases CORSA sales.</w:t>
      </w:r>
    </w:p>
    <w:p w14:paraId="0DC60427" w14:textId="77777777" w:rsidR="0093166E" w:rsidRPr="00C63117" w:rsidRDefault="00C63117">
      <w:pPr>
        <w:rPr>
          <w:color w:val="auto"/>
        </w:rPr>
      </w:pPr>
      <w:r w:rsidRPr="00C63117">
        <w:rPr>
          <w:color w:val="auto"/>
        </w:rPr>
        <w:t>Use Paul’s national cultural dimensions to form questions, not to predict individual behaviour. Collectivism does not establish rejection of pasta, and an indulgence score does not establish reluctance to try new food. Direct responses from the intended audience should determine adaptation.</w:t>
      </w:r>
    </w:p>
    <w:p w14:paraId="009A0B7D" w14:textId="77777777" w:rsidR="0093166E" w:rsidRPr="00C63117" w:rsidRDefault="00C63117">
      <w:pPr>
        <w:pStyle w:val="Heading2"/>
        <w:rPr>
          <w:color w:val="auto"/>
        </w:rPr>
      </w:pPr>
      <w:r w:rsidRPr="00C63117">
        <w:rPr>
          <w:color w:val="auto"/>
        </w:rPr>
        <w:t>Sources</w:t>
      </w:r>
    </w:p>
    <w:p w14:paraId="30B75A2E" w14:textId="77777777" w:rsidR="0093166E" w:rsidRPr="00C63117" w:rsidRDefault="00C63117">
      <w:pPr>
        <w:spacing w:after="80"/>
        <w:rPr>
          <w:color w:val="auto"/>
        </w:rPr>
      </w:pPr>
      <w:hyperlink r:id="rId17">
        <w:r w:rsidRPr="00C63117">
          <w:rPr>
            <w:color w:val="auto"/>
            <w:sz w:val="19"/>
            <w:u w:val="single"/>
          </w:rPr>
          <w:t>Syarikat journal 2025 — Halal literacy certification and food and beverage purchase intention in East Jakarta</w:t>
        </w:r>
      </w:hyperlink>
    </w:p>
    <w:p w14:paraId="050B7128" w14:textId="77777777" w:rsidR="0093166E" w:rsidRPr="00C63117" w:rsidRDefault="00C63117">
      <w:pPr>
        <w:spacing w:after="80"/>
        <w:rPr>
          <w:color w:val="auto"/>
        </w:rPr>
      </w:pPr>
      <w:hyperlink r:id="rId18">
        <w:r w:rsidRPr="00C63117">
          <w:rPr>
            <w:color w:val="auto"/>
            <w:sz w:val="19"/>
            <w:u w:val="single"/>
          </w:rPr>
          <w:t>Universitas Jenderal Soedirman 2019 — Factors influencing coffee purchases in South Jakarta</w:t>
        </w:r>
      </w:hyperlink>
    </w:p>
    <w:p w14:paraId="2300AD5D" w14:textId="77777777" w:rsidR="0093166E" w:rsidRPr="00C63117" w:rsidRDefault="00C63117">
      <w:pPr>
        <w:spacing w:after="80"/>
        <w:rPr>
          <w:color w:val="auto"/>
        </w:rPr>
      </w:pPr>
      <w:r w:rsidRPr="00C63117">
        <w:rPr>
          <w:color w:val="auto"/>
          <w:sz w:val="19"/>
        </w:rPr>
        <w:t>Team research — Tiago Reimann, Customer Behaviour Report, behaviour and culture; Extended Data, pp 3–4, 9–10 and source 29. Paul, Report 1, PDF p 3.</w:t>
      </w:r>
    </w:p>
    <w:p w14:paraId="6C078FDA" w14:textId="77777777" w:rsidR="0093166E" w:rsidRPr="00C63117" w:rsidRDefault="00C63117">
      <w:pPr>
        <w:spacing w:after="80"/>
        <w:rPr>
          <w:color w:val="auto"/>
        </w:rPr>
      </w:pPr>
      <w:hyperlink r:id="rId19">
        <w:r w:rsidRPr="00C63117">
          <w:rPr>
            <w:color w:val="auto"/>
            <w:sz w:val="19"/>
            <w:u w:val="single"/>
          </w:rPr>
          <w:t>Jakpat 2025 — Wellness and Coffee on the Rise</w:t>
        </w:r>
      </w:hyperlink>
    </w:p>
    <w:p w14:paraId="79269631" w14:textId="77777777" w:rsidR="0093166E" w:rsidRPr="00C63117" w:rsidRDefault="00C63117">
      <w:pPr>
        <w:spacing w:after="80"/>
        <w:rPr>
          <w:color w:val="auto"/>
        </w:rPr>
      </w:pPr>
      <w:hyperlink r:id="rId20">
        <w:r w:rsidRPr="00C63117">
          <w:rPr>
            <w:color w:val="auto"/>
            <w:sz w:val="19"/>
            <w:u w:val="single"/>
          </w:rPr>
          <w:t>Jakpat 8 October 2025 — Consumer Insights Local Food and Beverage Market</w:t>
        </w:r>
      </w:hyperlink>
    </w:p>
    <w:p w14:paraId="585CBEED" w14:textId="77777777" w:rsidR="0093166E" w:rsidRPr="00C63117" w:rsidRDefault="00C63117">
      <w:pPr>
        <w:spacing w:after="80"/>
        <w:rPr>
          <w:color w:val="auto"/>
        </w:rPr>
      </w:pPr>
      <w:hyperlink r:id="rId21">
        <w:r w:rsidRPr="00C63117">
          <w:rPr>
            <w:color w:val="auto"/>
            <w:sz w:val="19"/>
            <w:u w:val="single"/>
          </w:rPr>
          <w:t>NIQ 10 July 2025 — Indonesian Consumers Reassess Health Priorities</w:t>
        </w:r>
      </w:hyperlink>
    </w:p>
    <w:p w14:paraId="79155DF0" w14:textId="77777777" w:rsidR="0093166E" w:rsidRPr="00C63117" w:rsidRDefault="00C63117">
      <w:pPr>
        <w:spacing w:after="80"/>
        <w:rPr>
          <w:color w:val="auto"/>
        </w:rPr>
      </w:pPr>
      <w:hyperlink r:id="rId22">
        <w:r w:rsidRPr="00C63117">
          <w:rPr>
            <w:color w:val="auto"/>
            <w:sz w:val="19"/>
            <w:u w:val="single"/>
          </w:rPr>
          <w:t>USDA FAS — Expanding Halal Standards ID2025-0035, 27 August 2025, pp 1–8</w:t>
        </w:r>
      </w:hyperlink>
    </w:p>
    <w:p w14:paraId="43C1CA35" w14:textId="77777777" w:rsidR="0093166E" w:rsidRPr="00C63117" w:rsidRDefault="00C63117">
      <w:pPr>
        <w:spacing w:after="80"/>
        <w:rPr>
          <w:color w:val="auto"/>
        </w:rPr>
      </w:pPr>
      <w:hyperlink r:id="rId23">
        <w:r w:rsidRPr="00C63117">
          <w:rPr>
            <w:color w:val="auto"/>
            <w:sz w:val="19"/>
            <w:u w:val="single"/>
          </w:rPr>
          <w:t>USDA FAS — HRI Annual ID2025-0049, 31 December 2025, pp 4–5</w:t>
        </w:r>
      </w:hyperlink>
    </w:p>
    <w:p w14:paraId="7C771D0E" w14:textId="77777777" w:rsidR="0093166E" w:rsidRPr="00C63117" w:rsidRDefault="00C63117">
      <w:pPr>
        <w:spacing w:after="80"/>
        <w:rPr>
          <w:color w:val="auto"/>
        </w:rPr>
      </w:pPr>
      <w:hyperlink r:id="rId24">
        <w:r w:rsidRPr="00C63117">
          <w:rPr>
            <w:color w:val="auto"/>
            <w:sz w:val="19"/>
            <w:u w:val="single"/>
          </w:rPr>
          <w:t>Government Regulation 42 of 2024 — Official Indonesian legislation portal</w:t>
        </w:r>
      </w:hyperlink>
    </w:p>
    <w:p w14:paraId="00A29F12" w14:textId="77777777" w:rsidR="0093166E" w:rsidRPr="00C63117" w:rsidRDefault="00C63117">
      <w:pPr>
        <w:spacing w:after="80"/>
        <w:rPr>
          <w:color w:val="auto"/>
        </w:rPr>
      </w:pPr>
      <w:hyperlink r:id="rId25">
        <w:r w:rsidRPr="00C63117">
          <w:rPr>
            <w:color w:val="auto"/>
            <w:sz w:val="19"/>
            <w:u w:val="single"/>
          </w:rPr>
          <w:t>BPJPH — Certification phase effective from 18 October 2024</w:t>
        </w:r>
      </w:hyperlink>
    </w:p>
    <w:p w14:paraId="79BD281D" w14:textId="77777777" w:rsidR="0093166E" w:rsidRPr="00C63117" w:rsidRDefault="00C63117">
      <w:pPr>
        <w:spacing w:after="80"/>
        <w:rPr>
          <w:color w:val="auto"/>
        </w:rPr>
      </w:pPr>
      <w:hyperlink r:id="rId26">
        <w:r w:rsidRPr="00C63117">
          <w:rPr>
            <w:color w:val="auto"/>
            <w:sz w:val="19"/>
            <w:u w:val="single"/>
          </w:rPr>
          <w:t>BPJPH — Product categories covered from 18 October 2026</w:t>
        </w:r>
      </w:hyperlink>
    </w:p>
    <w:p w14:paraId="68B8D1AD" w14:textId="77777777" w:rsidR="0093166E" w:rsidRPr="00C63117" w:rsidRDefault="00C63117">
      <w:pPr>
        <w:spacing w:after="80"/>
        <w:rPr>
          <w:color w:val="auto"/>
        </w:rPr>
      </w:pPr>
      <w:hyperlink r:id="rId27">
        <w:r w:rsidRPr="00C63117">
          <w:rPr>
            <w:color w:val="auto"/>
            <w:sz w:val="19"/>
            <w:u w:val="single"/>
          </w:rPr>
          <w:t>BPJPH 9 October 2026 — No postponement and special provisions being prepared</w:t>
        </w:r>
      </w:hyperlink>
    </w:p>
    <w:p w14:paraId="1550C9DE" w14:textId="77777777" w:rsidR="0093166E" w:rsidRPr="00C63117" w:rsidRDefault="00C63117">
      <w:pPr>
        <w:spacing w:after="80"/>
        <w:rPr>
          <w:color w:val="auto"/>
        </w:rPr>
      </w:pPr>
      <w:hyperlink r:id="rId28">
        <w:r w:rsidRPr="00C63117">
          <w:rPr>
            <w:color w:val="auto"/>
            <w:sz w:val="19"/>
            <w:u w:val="single"/>
          </w:rPr>
          <w:t>BPJPH — Restaurant chains must maintain halal assurance at every outlet</w:t>
        </w:r>
      </w:hyperlink>
    </w:p>
    <w:p w14:paraId="575D1254" w14:textId="77777777" w:rsidR="0093166E" w:rsidRPr="00C63117" w:rsidRDefault="00C63117">
      <w:pPr>
        <w:spacing w:after="80"/>
        <w:rPr>
          <w:color w:val="auto"/>
        </w:rPr>
      </w:pPr>
      <w:hyperlink r:id="rId29">
        <w:r w:rsidRPr="00C63117">
          <w:rPr>
            <w:color w:val="auto"/>
            <w:sz w:val="19"/>
            <w:u w:val="single"/>
          </w:rPr>
          <w:t>BPJPH 25 June 2025 — Non-halal products and foreign certificate registration</w:t>
        </w:r>
      </w:hyperlink>
    </w:p>
    <w:p w14:paraId="289501B3" w14:textId="77777777" w:rsidR="0093166E" w:rsidRPr="00C63117" w:rsidRDefault="00C63117">
      <w:pPr>
        <w:pStyle w:val="Heading1"/>
        <w:spacing w:before="360"/>
        <w:rPr>
          <w:color w:val="auto"/>
        </w:rPr>
      </w:pPr>
      <w:r w:rsidRPr="00C63117">
        <w:rPr>
          <w:color w:val="auto"/>
        </w:rPr>
        <w:t>5 Existing competitors and comparable concepts</w:t>
      </w:r>
    </w:p>
    <w:p w14:paraId="776EFA0E" w14:textId="77777777" w:rsidR="0093166E" w:rsidRPr="00C63117" w:rsidRDefault="00C63117">
      <w:pPr>
        <w:spacing w:after="200"/>
        <w:rPr>
          <w:color w:val="auto"/>
        </w:rPr>
      </w:pPr>
      <w:r w:rsidRPr="00C63117">
        <w:rPr>
          <w:i/>
          <w:color w:val="auto"/>
        </w:rPr>
        <w:t>Scope question: Which competitors or comparable concepts already exist? What can CORSA learn from local benchmarks?</w:t>
      </w:r>
    </w:p>
    <w:p w14:paraId="777BD69B" w14:textId="77777777" w:rsidR="0093166E" w:rsidRPr="00C63117" w:rsidRDefault="00C63117">
      <w:pPr>
        <w:rPr>
          <w:color w:val="auto"/>
        </w:rPr>
      </w:pPr>
      <w:r w:rsidRPr="00C63117">
        <w:rPr>
          <w:color w:val="auto"/>
        </w:rPr>
        <w:t>The following businesses overlap with different parts of CORSA’s offer. The overlap assessments are interpretations of their published concepts. Brand websites establish offers and listed locations, rather than profitability or market share.</w:t>
      </w:r>
    </w:p>
    <w:tbl>
      <w:tblPr>
        <w:tblW w:w="0" w:type="auto"/>
        <w:jc w:val="center"/>
        <w:tblLayout w:type="fixed"/>
        <w:tblLook w:val="04A0" w:firstRow="1" w:lastRow="0" w:firstColumn="1" w:lastColumn="0" w:noHBand="0" w:noVBand="1"/>
      </w:tblPr>
      <w:tblGrid>
        <w:gridCol w:w="3250"/>
        <w:gridCol w:w="4320"/>
        <w:gridCol w:w="3672"/>
      </w:tblGrid>
      <w:tr w:rsidR="00C63117" w:rsidRPr="00C63117" w14:paraId="5294B45D" w14:textId="77777777">
        <w:trPr>
          <w:cantSplit/>
          <w:tblHeader/>
          <w:jc w:val="center"/>
        </w:trPr>
        <w:tc>
          <w:tcPr>
            <w:tcW w:w="3250" w:type="dxa"/>
            <w:tcBorders>
              <w:top w:val="single" w:sz="4" w:space="0" w:color="D9D9D9"/>
              <w:left w:val="single" w:sz="4" w:space="0" w:color="D9D9D9"/>
              <w:bottom w:val="single" w:sz="4" w:space="0" w:color="D9D9D9"/>
              <w:right w:val="single" w:sz="4" w:space="0" w:color="D9D9D9"/>
            </w:tcBorders>
            <w:shd w:val="clear" w:color="auto" w:fill="243E50"/>
            <w:tcMar>
              <w:top w:w="85" w:type="dxa"/>
              <w:left w:w="85" w:type="dxa"/>
              <w:bottom w:w="85" w:type="dxa"/>
              <w:right w:w="85" w:type="dxa"/>
            </w:tcMar>
            <w:vAlign w:val="center"/>
          </w:tcPr>
          <w:p w14:paraId="64E4EB52" w14:textId="77777777" w:rsidR="0093166E" w:rsidRPr="00C63117" w:rsidRDefault="00C63117">
            <w:pPr>
              <w:spacing w:after="40" w:line="240" w:lineRule="auto"/>
              <w:rPr>
                <w:color w:val="auto"/>
              </w:rPr>
            </w:pPr>
            <w:r w:rsidRPr="00C63117">
              <w:rPr>
                <w:b/>
                <w:color w:val="auto"/>
                <w:sz w:val="18"/>
              </w:rPr>
              <w:t>Concept</w:t>
            </w:r>
          </w:p>
        </w:tc>
        <w:tc>
          <w:tcPr>
            <w:tcW w:w="3250" w:type="dxa"/>
            <w:tcBorders>
              <w:top w:val="single" w:sz="4" w:space="0" w:color="D9D9D9"/>
              <w:left w:val="single" w:sz="4" w:space="0" w:color="D9D9D9"/>
              <w:bottom w:val="single" w:sz="4" w:space="0" w:color="D9D9D9"/>
              <w:right w:val="single" w:sz="4" w:space="0" w:color="D9D9D9"/>
            </w:tcBorders>
            <w:shd w:val="clear" w:color="auto" w:fill="243E50"/>
            <w:tcMar>
              <w:top w:w="85" w:type="dxa"/>
              <w:left w:w="85" w:type="dxa"/>
              <w:bottom w:w="85" w:type="dxa"/>
              <w:right w:w="85" w:type="dxa"/>
            </w:tcMar>
            <w:vAlign w:val="center"/>
          </w:tcPr>
          <w:p w14:paraId="3D24A219" w14:textId="77777777" w:rsidR="0093166E" w:rsidRPr="00C63117" w:rsidRDefault="00C63117">
            <w:pPr>
              <w:spacing w:after="40" w:line="240" w:lineRule="auto"/>
              <w:rPr>
                <w:color w:val="auto"/>
              </w:rPr>
            </w:pPr>
            <w:r w:rsidRPr="00C63117">
              <w:rPr>
                <w:b/>
                <w:color w:val="auto"/>
                <w:sz w:val="18"/>
              </w:rPr>
              <w:t>Existing offer</w:t>
            </w:r>
          </w:p>
        </w:tc>
        <w:tc>
          <w:tcPr>
            <w:tcW w:w="3250" w:type="dxa"/>
            <w:tcBorders>
              <w:top w:val="single" w:sz="4" w:space="0" w:color="D9D9D9"/>
              <w:left w:val="single" w:sz="4" w:space="0" w:color="D9D9D9"/>
              <w:bottom w:val="single" w:sz="4" w:space="0" w:color="D9D9D9"/>
              <w:right w:val="single" w:sz="4" w:space="0" w:color="D9D9D9"/>
            </w:tcBorders>
            <w:shd w:val="clear" w:color="auto" w:fill="243E50"/>
            <w:tcMar>
              <w:top w:w="85" w:type="dxa"/>
              <w:left w:w="85" w:type="dxa"/>
              <w:bottom w:w="85" w:type="dxa"/>
              <w:right w:w="85" w:type="dxa"/>
            </w:tcMar>
            <w:vAlign w:val="center"/>
          </w:tcPr>
          <w:p w14:paraId="416B75D8" w14:textId="77777777" w:rsidR="0093166E" w:rsidRPr="00C63117" w:rsidRDefault="00C63117">
            <w:pPr>
              <w:spacing w:after="40" w:line="240" w:lineRule="auto"/>
              <w:rPr>
                <w:color w:val="auto"/>
              </w:rPr>
            </w:pPr>
            <w:r w:rsidRPr="00C63117">
              <w:rPr>
                <w:b/>
                <w:color w:val="auto"/>
                <w:sz w:val="18"/>
              </w:rPr>
              <w:t>Overlap with CORSA</w:t>
            </w:r>
          </w:p>
        </w:tc>
      </w:tr>
      <w:tr w:rsidR="00C63117" w:rsidRPr="00C63117" w14:paraId="6636DAD7" w14:textId="77777777">
        <w:trPr>
          <w:cantSplit/>
          <w:jc w:val="center"/>
        </w:trPr>
        <w:tc>
          <w:tcPr>
            <w:tcW w:w="1613" w:type="dxa"/>
            <w:tcBorders>
              <w:top w:val="single" w:sz="4" w:space="0" w:color="D9D9D9"/>
              <w:left w:val="single" w:sz="4" w:space="0" w:color="D9D9D9"/>
              <w:bottom w:val="single" w:sz="4" w:space="0" w:color="D9D9D9"/>
              <w:right w:val="single" w:sz="4" w:space="0" w:color="D9D9D9"/>
            </w:tcBorders>
            <w:shd w:val="clear" w:color="auto" w:fill="F0F4F6"/>
            <w:tcMar>
              <w:top w:w="85" w:type="dxa"/>
              <w:left w:w="85" w:type="dxa"/>
              <w:bottom w:w="85" w:type="dxa"/>
              <w:right w:w="85" w:type="dxa"/>
            </w:tcMar>
            <w:vAlign w:val="center"/>
          </w:tcPr>
          <w:p w14:paraId="2DD825E8" w14:textId="77777777" w:rsidR="0093166E" w:rsidRPr="00C63117" w:rsidRDefault="00C63117">
            <w:pPr>
              <w:spacing w:after="40" w:line="240" w:lineRule="auto"/>
              <w:rPr>
                <w:color w:val="auto"/>
              </w:rPr>
            </w:pPr>
            <w:r w:rsidRPr="00C63117">
              <w:rPr>
                <w:color w:val="auto"/>
                <w:sz w:val="18"/>
              </w:rPr>
              <w:t>Common Grounds</w:t>
            </w:r>
          </w:p>
        </w:tc>
        <w:tc>
          <w:tcPr>
            <w:tcW w:w="4320" w:type="dxa"/>
            <w:tcBorders>
              <w:top w:val="single" w:sz="4" w:space="0" w:color="D9D9D9"/>
              <w:left w:val="single" w:sz="4" w:space="0" w:color="D9D9D9"/>
              <w:bottom w:val="single" w:sz="4" w:space="0" w:color="D9D9D9"/>
              <w:right w:val="single" w:sz="4" w:space="0" w:color="D9D9D9"/>
            </w:tcBorders>
            <w:shd w:val="clear" w:color="auto" w:fill="F0F4F6"/>
            <w:tcMar>
              <w:top w:w="85" w:type="dxa"/>
              <w:left w:w="85" w:type="dxa"/>
              <w:bottom w:w="85" w:type="dxa"/>
              <w:right w:w="85" w:type="dxa"/>
            </w:tcMar>
            <w:vAlign w:val="center"/>
          </w:tcPr>
          <w:p w14:paraId="5833121E" w14:textId="77777777" w:rsidR="0093166E" w:rsidRPr="00C63117" w:rsidRDefault="00C63117">
            <w:pPr>
              <w:spacing w:after="40" w:line="240" w:lineRule="auto"/>
              <w:rPr>
                <w:color w:val="auto"/>
              </w:rPr>
            </w:pPr>
            <w:r w:rsidRPr="00C63117">
              <w:rPr>
                <w:color w:val="auto"/>
                <w:sz w:val="18"/>
              </w:rPr>
              <w:t xml:space="preserve">Specialty </w:t>
            </w:r>
            <w:r w:rsidRPr="00C63117">
              <w:rPr>
                <w:color w:val="auto"/>
                <w:sz w:val="18"/>
              </w:rPr>
              <w:t>coffee, all-day dishes and pastries. Listed outlets include Ashta District 8, Setiabudi One and Citywalk Sudirman.</w:t>
            </w:r>
          </w:p>
        </w:tc>
        <w:tc>
          <w:tcPr>
            <w:tcW w:w="3672" w:type="dxa"/>
            <w:tcBorders>
              <w:top w:val="single" w:sz="4" w:space="0" w:color="D9D9D9"/>
              <w:left w:val="single" w:sz="4" w:space="0" w:color="D9D9D9"/>
              <w:bottom w:val="single" w:sz="4" w:space="0" w:color="D9D9D9"/>
              <w:right w:val="single" w:sz="4" w:space="0" w:color="D9D9D9"/>
            </w:tcBorders>
            <w:shd w:val="clear" w:color="auto" w:fill="F0F4F6"/>
            <w:tcMar>
              <w:top w:w="85" w:type="dxa"/>
              <w:left w:w="85" w:type="dxa"/>
              <w:bottom w:w="85" w:type="dxa"/>
              <w:right w:w="85" w:type="dxa"/>
            </w:tcMar>
            <w:vAlign w:val="center"/>
          </w:tcPr>
          <w:p w14:paraId="3A4AE4C3" w14:textId="77777777" w:rsidR="0093166E" w:rsidRPr="00C63117" w:rsidRDefault="00C63117">
            <w:pPr>
              <w:spacing w:after="40" w:line="240" w:lineRule="auto"/>
              <w:rPr>
                <w:color w:val="auto"/>
              </w:rPr>
            </w:pPr>
            <w:r w:rsidRPr="00C63117">
              <w:rPr>
                <w:color w:val="auto"/>
                <w:sz w:val="18"/>
              </w:rPr>
              <w:t>Coffee, meals and the social café experience.</w:t>
            </w:r>
          </w:p>
        </w:tc>
      </w:tr>
      <w:tr w:rsidR="00C63117" w:rsidRPr="00C63117" w14:paraId="0F71B874" w14:textId="77777777">
        <w:trPr>
          <w:cantSplit/>
          <w:jc w:val="center"/>
        </w:trPr>
        <w:tc>
          <w:tcPr>
            <w:tcW w:w="161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764751" w14:textId="77777777" w:rsidR="0093166E" w:rsidRPr="00C63117" w:rsidRDefault="00C63117">
            <w:pPr>
              <w:spacing w:after="40" w:line="240" w:lineRule="auto"/>
              <w:rPr>
                <w:color w:val="auto"/>
              </w:rPr>
            </w:pPr>
            <w:r w:rsidRPr="00C63117">
              <w:rPr>
                <w:color w:val="auto"/>
                <w:sz w:val="18"/>
              </w:rPr>
              <w:t xml:space="preserve">Pison </w:t>
            </w:r>
            <w:proofErr w:type="spellStart"/>
            <w:r w:rsidRPr="00C63117">
              <w:rPr>
                <w:color w:val="auto"/>
                <w:sz w:val="18"/>
              </w:rPr>
              <w:t>Senopati</w:t>
            </w:r>
            <w:proofErr w:type="spellEnd"/>
          </w:p>
        </w:tc>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9AC6C5" w14:textId="77777777" w:rsidR="0093166E" w:rsidRPr="00C63117" w:rsidRDefault="00C63117">
            <w:pPr>
              <w:spacing w:after="40" w:line="240" w:lineRule="auto"/>
              <w:rPr>
                <w:color w:val="auto"/>
              </w:rPr>
            </w:pPr>
            <w:r w:rsidRPr="00C63117">
              <w:rPr>
                <w:color w:val="auto"/>
                <w:sz w:val="18"/>
              </w:rPr>
              <w:t>All-day café dining, coffee and Western/Asian-inspired food, including Indonesian dishes. Located behind SCBD.</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C82CF5" w14:textId="77777777" w:rsidR="0093166E" w:rsidRPr="00C63117" w:rsidRDefault="00C63117">
            <w:pPr>
              <w:spacing w:after="40" w:line="240" w:lineRule="auto"/>
              <w:rPr>
                <w:color w:val="auto"/>
              </w:rPr>
            </w:pPr>
            <w:r w:rsidRPr="00C63117">
              <w:rPr>
                <w:color w:val="auto"/>
                <w:sz w:val="18"/>
              </w:rPr>
              <w:t>Food and coffee across several daily occasions; atmosphere and menu breadth.</w:t>
            </w:r>
          </w:p>
        </w:tc>
      </w:tr>
      <w:tr w:rsidR="00C63117" w:rsidRPr="00C63117" w14:paraId="47A92400" w14:textId="77777777">
        <w:trPr>
          <w:cantSplit/>
          <w:jc w:val="center"/>
        </w:trPr>
        <w:tc>
          <w:tcPr>
            <w:tcW w:w="1613" w:type="dxa"/>
            <w:tcBorders>
              <w:top w:val="single" w:sz="4" w:space="0" w:color="D9D9D9"/>
              <w:left w:val="single" w:sz="4" w:space="0" w:color="D9D9D9"/>
              <w:bottom w:val="single" w:sz="4" w:space="0" w:color="D9D9D9"/>
              <w:right w:val="single" w:sz="4" w:space="0" w:color="D9D9D9"/>
            </w:tcBorders>
            <w:shd w:val="clear" w:color="auto" w:fill="F0F4F6"/>
            <w:tcMar>
              <w:top w:w="85" w:type="dxa"/>
              <w:left w:w="85" w:type="dxa"/>
              <w:bottom w:w="85" w:type="dxa"/>
              <w:right w:w="85" w:type="dxa"/>
            </w:tcMar>
            <w:vAlign w:val="center"/>
          </w:tcPr>
          <w:p w14:paraId="18BE00F3" w14:textId="77777777" w:rsidR="0093166E" w:rsidRPr="00C63117" w:rsidRDefault="00C63117">
            <w:pPr>
              <w:spacing w:after="40" w:line="240" w:lineRule="auto"/>
              <w:rPr>
                <w:color w:val="auto"/>
              </w:rPr>
            </w:pPr>
            <w:proofErr w:type="spellStart"/>
            <w:r w:rsidRPr="00C63117">
              <w:rPr>
                <w:color w:val="auto"/>
                <w:sz w:val="18"/>
              </w:rPr>
              <w:t>SaladStop</w:t>
            </w:r>
            <w:proofErr w:type="spellEnd"/>
            <w:r w:rsidRPr="00C63117">
              <w:rPr>
                <w:color w:val="auto"/>
                <w:sz w:val="18"/>
              </w:rPr>
              <w:t xml:space="preserve"> Indonesia</w:t>
            </w:r>
          </w:p>
        </w:tc>
        <w:tc>
          <w:tcPr>
            <w:tcW w:w="4320" w:type="dxa"/>
            <w:tcBorders>
              <w:top w:val="single" w:sz="4" w:space="0" w:color="D9D9D9"/>
              <w:left w:val="single" w:sz="4" w:space="0" w:color="D9D9D9"/>
              <w:bottom w:val="single" w:sz="4" w:space="0" w:color="D9D9D9"/>
              <w:right w:val="single" w:sz="4" w:space="0" w:color="D9D9D9"/>
            </w:tcBorders>
            <w:shd w:val="clear" w:color="auto" w:fill="F0F4F6"/>
            <w:tcMar>
              <w:top w:w="85" w:type="dxa"/>
              <w:left w:w="85" w:type="dxa"/>
              <w:bottom w:w="85" w:type="dxa"/>
              <w:right w:w="85" w:type="dxa"/>
            </w:tcMar>
            <w:vAlign w:val="center"/>
          </w:tcPr>
          <w:p w14:paraId="4C3736B4" w14:textId="77777777" w:rsidR="0093166E" w:rsidRPr="00C63117" w:rsidRDefault="00C63117">
            <w:pPr>
              <w:spacing w:after="40" w:line="240" w:lineRule="auto"/>
              <w:rPr>
                <w:color w:val="auto"/>
              </w:rPr>
            </w:pPr>
            <w:r w:rsidRPr="00C63117">
              <w:rPr>
                <w:color w:val="auto"/>
                <w:sz w:val="18"/>
              </w:rPr>
              <w:t xml:space="preserve">Healthy meals. Listed outlets include Pacific Place, WTC 3 Sudirman, Setiabudi One, Kemang Mansion and PIK Central </w:t>
            </w:r>
            <w:r w:rsidRPr="00C63117">
              <w:rPr>
                <w:color w:val="auto"/>
                <w:sz w:val="18"/>
              </w:rPr>
              <w:t>Market.</w:t>
            </w:r>
          </w:p>
        </w:tc>
        <w:tc>
          <w:tcPr>
            <w:tcW w:w="3672" w:type="dxa"/>
            <w:tcBorders>
              <w:top w:val="single" w:sz="4" w:space="0" w:color="D9D9D9"/>
              <w:left w:val="single" w:sz="4" w:space="0" w:color="D9D9D9"/>
              <w:bottom w:val="single" w:sz="4" w:space="0" w:color="D9D9D9"/>
              <w:right w:val="single" w:sz="4" w:space="0" w:color="D9D9D9"/>
            </w:tcBorders>
            <w:shd w:val="clear" w:color="auto" w:fill="F0F4F6"/>
            <w:tcMar>
              <w:top w:w="85" w:type="dxa"/>
              <w:left w:w="85" w:type="dxa"/>
              <w:bottom w:w="85" w:type="dxa"/>
              <w:right w:w="85" w:type="dxa"/>
            </w:tcMar>
            <w:vAlign w:val="center"/>
          </w:tcPr>
          <w:p w14:paraId="7D3A7BB7" w14:textId="77777777" w:rsidR="0093166E" w:rsidRPr="00C63117" w:rsidRDefault="00C63117">
            <w:pPr>
              <w:spacing w:after="40" w:line="240" w:lineRule="auto"/>
              <w:rPr>
                <w:color w:val="auto"/>
              </w:rPr>
            </w:pPr>
            <w:r w:rsidRPr="00C63117">
              <w:rPr>
                <w:color w:val="auto"/>
                <w:sz w:val="18"/>
              </w:rPr>
              <w:t>Health-oriented lunch and convenience.</w:t>
            </w:r>
          </w:p>
        </w:tc>
      </w:tr>
      <w:tr w:rsidR="00C63117" w:rsidRPr="00C63117" w14:paraId="40A4B387" w14:textId="77777777">
        <w:trPr>
          <w:cantSplit/>
          <w:jc w:val="center"/>
        </w:trPr>
        <w:tc>
          <w:tcPr>
            <w:tcW w:w="161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D6EBE4" w14:textId="77777777" w:rsidR="0093166E" w:rsidRPr="00C63117" w:rsidRDefault="00C63117">
            <w:pPr>
              <w:spacing w:after="40" w:line="240" w:lineRule="auto"/>
              <w:rPr>
                <w:color w:val="auto"/>
              </w:rPr>
            </w:pPr>
            <w:proofErr w:type="spellStart"/>
            <w:r w:rsidRPr="00C63117">
              <w:rPr>
                <w:color w:val="auto"/>
                <w:sz w:val="18"/>
              </w:rPr>
              <w:t>Burgreens</w:t>
            </w:r>
            <w:proofErr w:type="spellEnd"/>
          </w:p>
        </w:tc>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246624" w14:textId="77777777" w:rsidR="0093166E" w:rsidRPr="00C63117" w:rsidRDefault="00C63117">
            <w:pPr>
              <w:spacing w:after="40" w:line="240" w:lineRule="auto"/>
              <w:rPr>
                <w:color w:val="auto"/>
              </w:rPr>
            </w:pPr>
            <w:r w:rsidRPr="00C63117">
              <w:rPr>
                <w:color w:val="auto"/>
                <w:sz w:val="18"/>
              </w:rPr>
              <w:t>Plant-based Asian and Western comfort food. Its directory lists Pacific Place, Menteng and Dharmawangsa.</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6F4486" w14:textId="77777777" w:rsidR="0093166E" w:rsidRPr="00C63117" w:rsidRDefault="00C63117">
            <w:pPr>
              <w:spacing w:after="40" w:line="240" w:lineRule="auto"/>
              <w:rPr>
                <w:color w:val="auto"/>
              </w:rPr>
            </w:pPr>
            <w:r w:rsidRPr="00C63117">
              <w:rPr>
                <w:color w:val="auto"/>
                <w:sz w:val="18"/>
              </w:rPr>
              <w:t>Health and lifestyle positioning, with familiar dishes.</w:t>
            </w:r>
          </w:p>
        </w:tc>
      </w:tr>
      <w:tr w:rsidR="00C63117" w:rsidRPr="00C63117" w14:paraId="0FDF790C" w14:textId="77777777">
        <w:trPr>
          <w:cantSplit/>
          <w:jc w:val="center"/>
        </w:trPr>
        <w:tc>
          <w:tcPr>
            <w:tcW w:w="1613" w:type="dxa"/>
            <w:tcBorders>
              <w:top w:val="single" w:sz="4" w:space="0" w:color="D9D9D9"/>
              <w:left w:val="single" w:sz="4" w:space="0" w:color="D9D9D9"/>
              <w:bottom w:val="single" w:sz="4" w:space="0" w:color="D9D9D9"/>
              <w:right w:val="single" w:sz="4" w:space="0" w:color="D9D9D9"/>
            </w:tcBorders>
            <w:shd w:val="clear" w:color="auto" w:fill="F0F4F6"/>
            <w:tcMar>
              <w:top w:w="85" w:type="dxa"/>
              <w:left w:w="85" w:type="dxa"/>
              <w:bottom w:w="85" w:type="dxa"/>
              <w:right w:w="85" w:type="dxa"/>
            </w:tcMar>
            <w:vAlign w:val="center"/>
          </w:tcPr>
          <w:p w14:paraId="09881CA3" w14:textId="77777777" w:rsidR="0093166E" w:rsidRPr="00C63117" w:rsidRDefault="00C63117">
            <w:pPr>
              <w:spacing w:after="40" w:line="240" w:lineRule="auto"/>
              <w:rPr>
                <w:color w:val="auto"/>
              </w:rPr>
            </w:pPr>
            <w:r w:rsidRPr="00C63117">
              <w:rPr>
                <w:color w:val="auto"/>
                <w:sz w:val="18"/>
              </w:rPr>
              <w:t>HONU</w:t>
            </w:r>
          </w:p>
        </w:tc>
        <w:tc>
          <w:tcPr>
            <w:tcW w:w="4320" w:type="dxa"/>
            <w:tcBorders>
              <w:top w:val="single" w:sz="4" w:space="0" w:color="D9D9D9"/>
              <w:left w:val="single" w:sz="4" w:space="0" w:color="D9D9D9"/>
              <w:bottom w:val="single" w:sz="4" w:space="0" w:color="D9D9D9"/>
              <w:right w:val="single" w:sz="4" w:space="0" w:color="D9D9D9"/>
            </w:tcBorders>
            <w:shd w:val="clear" w:color="auto" w:fill="F0F4F6"/>
            <w:tcMar>
              <w:top w:w="85" w:type="dxa"/>
              <w:left w:w="85" w:type="dxa"/>
              <w:bottom w:w="85" w:type="dxa"/>
              <w:right w:w="85" w:type="dxa"/>
            </w:tcMar>
            <w:vAlign w:val="center"/>
          </w:tcPr>
          <w:p w14:paraId="45BF3D7B" w14:textId="77777777" w:rsidR="0093166E" w:rsidRPr="00C63117" w:rsidRDefault="00C63117">
            <w:pPr>
              <w:spacing w:after="40" w:line="240" w:lineRule="auto"/>
              <w:rPr>
                <w:color w:val="auto"/>
              </w:rPr>
            </w:pPr>
            <w:r w:rsidRPr="00C63117">
              <w:rPr>
                <w:color w:val="auto"/>
                <w:sz w:val="18"/>
              </w:rPr>
              <w:t xml:space="preserve">Poké and matcha bar. </w:t>
            </w:r>
            <w:r w:rsidRPr="00C63117">
              <w:rPr>
                <w:color w:val="auto"/>
                <w:sz w:val="18"/>
              </w:rPr>
              <w:t>Listed Jakarta locations include Kemang and Menteng.</w:t>
            </w:r>
          </w:p>
        </w:tc>
        <w:tc>
          <w:tcPr>
            <w:tcW w:w="3672" w:type="dxa"/>
            <w:tcBorders>
              <w:top w:val="single" w:sz="4" w:space="0" w:color="D9D9D9"/>
              <w:left w:val="single" w:sz="4" w:space="0" w:color="D9D9D9"/>
              <w:bottom w:val="single" w:sz="4" w:space="0" w:color="D9D9D9"/>
              <w:right w:val="single" w:sz="4" w:space="0" w:color="D9D9D9"/>
            </w:tcBorders>
            <w:shd w:val="clear" w:color="auto" w:fill="F0F4F6"/>
            <w:tcMar>
              <w:top w:w="85" w:type="dxa"/>
              <w:left w:w="85" w:type="dxa"/>
              <w:bottom w:w="85" w:type="dxa"/>
              <w:right w:w="85" w:type="dxa"/>
            </w:tcMar>
            <w:vAlign w:val="center"/>
          </w:tcPr>
          <w:p w14:paraId="54A66E3A" w14:textId="77777777" w:rsidR="0093166E" w:rsidRPr="00C63117" w:rsidRDefault="00C63117">
            <w:pPr>
              <w:spacing w:after="40" w:line="240" w:lineRule="auto"/>
              <w:rPr>
                <w:color w:val="auto"/>
              </w:rPr>
            </w:pPr>
            <w:r w:rsidRPr="00C63117">
              <w:rPr>
                <w:color w:val="auto"/>
                <w:sz w:val="18"/>
              </w:rPr>
              <w:t>A focused meal-and-drink offer with a recognisable identity.</w:t>
            </w:r>
          </w:p>
        </w:tc>
      </w:tr>
      <w:tr w:rsidR="00C63117" w:rsidRPr="00C63117" w14:paraId="3451F62D" w14:textId="77777777">
        <w:trPr>
          <w:cantSplit/>
          <w:jc w:val="center"/>
        </w:trPr>
        <w:tc>
          <w:tcPr>
            <w:tcW w:w="161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3369E6" w14:textId="77777777" w:rsidR="0093166E" w:rsidRPr="00C63117" w:rsidRDefault="00C63117">
            <w:pPr>
              <w:spacing w:after="40" w:line="240" w:lineRule="auto"/>
              <w:rPr>
                <w:color w:val="auto"/>
              </w:rPr>
            </w:pPr>
            <w:r w:rsidRPr="00C63117">
              <w:rPr>
                <w:color w:val="auto"/>
                <w:sz w:val="18"/>
              </w:rPr>
              <w:t>Gudda Coffee</w:t>
            </w:r>
          </w:p>
        </w:tc>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725A4C" w14:textId="77777777" w:rsidR="0093166E" w:rsidRPr="00C63117" w:rsidRDefault="00C63117">
            <w:pPr>
              <w:spacing w:after="40" w:line="240" w:lineRule="auto"/>
              <w:rPr>
                <w:color w:val="auto"/>
              </w:rPr>
            </w:pPr>
            <w:r w:rsidRPr="00C63117">
              <w:rPr>
                <w:color w:val="auto"/>
                <w:sz w:val="18"/>
              </w:rPr>
              <w:t>Senayan café used by running and other communities.</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FEE2DD" w14:textId="77777777" w:rsidR="0093166E" w:rsidRPr="00C63117" w:rsidRDefault="00C63117">
            <w:pPr>
              <w:spacing w:after="40" w:line="240" w:lineRule="auto"/>
              <w:rPr>
                <w:color w:val="auto"/>
              </w:rPr>
            </w:pPr>
            <w:r w:rsidRPr="00C63117">
              <w:rPr>
                <w:color w:val="auto"/>
                <w:sz w:val="18"/>
              </w:rPr>
              <w:t>Community gathering and coffee after activity.</w:t>
            </w:r>
          </w:p>
        </w:tc>
      </w:tr>
      <w:tr w:rsidR="00C63117" w:rsidRPr="00C63117" w14:paraId="08462E44" w14:textId="77777777">
        <w:trPr>
          <w:cantSplit/>
          <w:jc w:val="center"/>
        </w:trPr>
        <w:tc>
          <w:tcPr>
            <w:tcW w:w="1613" w:type="dxa"/>
            <w:tcBorders>
              <w:top w:val="single" w:sz="4" w:space="0" w:color="D9D9D9"/>
              <w:left w:val="single" w:sz="4" w:space="0" w:color="D9D9D9"/>
              <w:bottom w:val="single" w:sz="4" w:space="0" w:color="D9D9D9"/>
              <w:right w:val="single" w:sz="4" w:space="0" w:color="D9D9D9"/>
            </w:tcBorders>
            <w:shd w:val="clear" w:color="auto" w:fill="F0F4F6"/>
            <w:tcMar>
              <w:top w:w="85" w:type="dxa"/>
              <w:left w:w="85" w:type="dxa"/>
              <w:bottom w:w="85" w:type="dxa"/>
              <w:right w:w="85" w:type="dxa"/>
            </w:tcMar>
            <w:vAlign w:val="center"/>
          </w:tcPr>
          <w:p w14:paraId="475DF789" w14:textId="77777777" w:rsidR="0093166E" w:rsidRPr="00C63117" w:rsidRDefault="00C63117">
            <w:pPr>
              <w:spacing w:after="40" w:line="240" w:lineRule="auto"/>
              <w:rPr>
                <w:color w:val="auto"/>
                <w:lang w:val="it-CH"/>
              </w:rPr>
            </w:pPr>
            <w:r w:rsidRPr="00C63117">
              <w:rPr>
                <w:color w:val="auto"/>
                <w:sz w:val="18"/>
                <w:lang w:val="it-CH"/>
              </w:rPr>
              <w:t>Kopi Sana and Sana Studio</w:t>
            </w:r>
          </w:p>
        </w:tc>
        <w:tc>
          <w:tcPr>
            <w:tcW w:w="4320" w:type="dxa"/>
            <w:tcBorders>
              <w:top w:val="single" w:sz="4" w:space="0" w:color="D9D9D9"/>
              <w:left w:val="single" w:sz="4" w:space="0" w:color="D9D9D9"/>
              <w:bottom w:val="single" w:sz="4" w:space="0" w:color="D9D9D9"/>
              <w:right w:val="single" w:sz="4" w:space="0" w:color="D9D9D9"/>
            </w:tcBorders>
            <w:shd w:val="clear" w:color="auto" w:fill="F0F4F6"/>
            <w:tcMar>
              <w:top w:w="85" w:type="dxa"/>
              <w:left w:w="85" w:type="dxa"/>
              <w:bottom w:w="85" w:type="dxa"/>
              <w:right w:w="85" w:type="dxa"/>
            </w:tcMar>
            <w:vAlign w:val="center"/>
          </w:tcPr>
          <w:p w14:paraId="7AEE1EC7" w14:textId="77777777" w:rsidR="0093166E" w:rsidRPr="00C63117" w:rsidRDefault="00C63117">
            <w:pPr>
              <w:spacing w:after="40" w:line="240" w:lineRule="auto"/>
              <w:rPr>
                <w:color w:val="auto"/>
              </w:rPr>
            </w:pPr>
            <w:r w:rsidRPr="00C63117">
              <w:rPr>
                <w:color w:val="auto"/>
                <w:sz w:val="18"/>
              </w:rPr>
              <w:t>Connected fitness and coffee concept in South Jakarta.</w:t>
            </w:r>
          </w:p>
        </w:tc>
        <w:tc>
          <w:tcPr>
            <w:tcW w:w="3672" w:type="dxa"/>
            <w:tcBorders>
              <w:top w:val="single" w:sz="4" w:space="0" w:color="D9D9D9"/>
              <w:left w:val="single" w:sz="4" w:space="0" w:color="D9D9D9"/>
              <w:bottom w:val="single" w:sz="4" w:space="0" w:color="D9D9D9"/>
              <w:right w:val="single" w:sz="4" w:space="0" w:color="D9D9D9"/>
            </w:tcBorders>
            <w:shd w:val="clear" w:color="auto" w:fill="F0F4F6"/>
            <w:tcMar>
              <w:top w:w="85" w:type="dxa"/>
              <w:left w:w="85" w:type="dxa"/>
              <w:bottom w:w="85" w:type="dxa"/>
              <w:right w:w="85" w:type="dxa"/>
            </w:tcMar>
            <w:vAlign w:val="center"/>
          </w:tcPr>
          <w:p w14:paraId="1C1FBA99" w14:textId="77777777" w:rsidR="0093166E" w:rsidRPr="00C63117" w:rsidRDefault="00C63117">
            <w:pPr>
              <w:spacing w:after="40" w:line="240" w:lineRule="auto"/>
              <w:rPr>
                <w:color w:val="auto"/>
              </w:rPr>
            </w:pPr>
            <w:r w:rsidRPr="00C63117">
              <w:rPr>
                <w:color w:val="auto"/>
                <w:sz w:val="18"/>
              </w:rPr>
              <w:t>Active lifestyle, community participation and café visits.</w:t>
            </w:r>
          </w:p>
        </w:tc>
      </w:tr>
    </w:tbl>
    <w:p w14:paraId="0769A067" w14:textId="77777777" w:rsidR="0093166E" w:rsidRPr="00C63117" w:rsidRDefault="00C63117">
      <w:pPr>
        <w:spacing w:before="200"/>
        <w:rPr>
          <w:color w:val="auto"/>
        </w:rPr>
      </w:pPr>
      <w:r w:rsidRPr="00C63117">
        <w:rPr>
          <w:color w:val="auto"/>
        </w:rPr>
        <w:t>CORSA would enter established customer habits. Its opportunity is to make the combination of coffee, healthier food and community compelling enough to earn repeat visits. The evidence does not yet establish that this combination is unique or commercially superior.</w:t>
      </w:r>
    </w:p>
    <w:p w14:paraId="7A3B3DA5" w14:textId="77777777" w:rsidR="0093166E" w:rsidRPr="00C63117" w:rsidRDefault="00C63117">
      <w:pPr>
        <w:pStyle w:val="Heading2"/>
        <w:rPr>
          <w:color w:val="auto"/>
        </w:rPr>
      </w:pPr>
      <w:r w:rsidRPr="00C63117">
        <w:rPr>
          <w:color w:val="auto"/>
        </w:rPr>
        <w:t>Additional comparison from the team research</w:t>
      </w:r>
    </w:p>
    <w:p w14:paraId="4DB8E5EA" w14:textId="77777777" w:rsidR="0093166E" w:rsidRPr="00C63117" w:rsidRDefault="00C63117">
      <w:pPr>
        <w:rPr>
          <w:color w:val="auto"/>
        </w:rPr>
      </w:pPr>
      <w:r w:rsidRPr="00C63117">
        <w:rPr>
          <w:color w:val="auto"/>
        </w:rPr>
        <w:t>Fedwell is a particularly relevant menu-format comparison identified by Tiago. ANTARA’s reporting from its 2018 launch describes a healthy warteg concept with selectable components, including pasta or quinoa and brown rice bases, proteins, toppings and dressings, alongside preset bowls and drinks. This is historical evidence of the format; current branches, prices and menu details need a fresh check.</w:t>
      </w:r>
    </w:p>
    <w:p w14:paraId="49592F54" w14:textId="77777777" w:rsidR="0093166E" w:rsidRPr="00C63117" w:rsidRDefault="00C63117">
      <w:pPr>
        <w:rPr>
          <w:color w:val="auto"/>
        </w:rPr>
      </w:pPr>
      <w:r w:rsidRPr="00C63117">
        <w:rPr>
          <w:color w:val="auto"/>
        </w:rPr>
        <w:t>The lesson for CORSA is that healthier eating can be presented through a familiar selection format, while preset combinations reduce the effort of choosing. The example also shows that pasta and rice can appear within one healthy-food concept. It does not establish which base sells best or prove demand for CORSA’s recipes.</w:t>
      </w:r>
    </w:p>
    <w:p w14:paraId="7D7983E0" w14:textId="77777777" w:rsidR="0093166E" w:rsidRPr="00C63117" w:rsidRDefault="00C63117">
      <w:pPr>
        <w:rPr>
          <w:color w:val="auto"/>
        </w:rPr>
      </w:pPr>
      <w:r w:rsidRPr="00C63117">
        <w:rPr>
          <w:color w:val="auto"/>
        </w:rPr>
        <w:t xml:space="preserve">Compare competitors by the occasion they serve: a weekday healthy meal, coffee and a long social visit, or gathering </w:t>
      </w:r>
      <w:r w:rsidRPr="00C63117">
        <w:rPr>
          <w:color w:val="auto"/>
        </w:rPr>
        <w:t>after sport. In interviews, ask which actual venue CORSA would replace and why. For pasta competitors in Tiago’s review work, investigate taste, serving time, portion satisfaction and repeat purchase; average star ratings alone cannot establish an advantage.</w:t>
      </w:r>
    </w:p>
    <w:p w14:paraId="39C52AD3" w14:textId="77777777" w:rsidR="0093166E" w:rsidRPr="00C63117" w:rsidRDefault="00C63117">
      <w:pPr>
        <w:pStyle w:val="Heading2"/>
        <w:rPr>
          <w:color w:val="auto"/>
        </w:rPr>
      </w:pPr>
      <w:r w:rsidRPr="00C63117">
        <w:rPr>
          <w:color w:val="auto"/>
        </w:rPr>
        <w:t>Sources</w:t>
      </w:r>
    </w:p>
    <w:p w14:paraId="5C08C3A2" w14:textId="77777777" w:rsidR="0093166E" w:rsidRPr="00C63117" w:rsidRDefault="00C63117">
      <w:pPr>
        <w:spacing w:after="80"/>
        <w:rPr>
          <w:color w:val="auto"/>
        </w:rPr>
      </w:pPr>
      <w:hyperlink r:id="rId30">
        <w:r w:rsidRPr="00C63117">
          <w:rPr>
            <w:color w:val="auto"/>
            <w:sz w:val="19"/>
            <w:u w:val="single"/>
          </w:rPr>
          <w:t>Common Grounds — Official menu and outlet links</w:t>
        </w:r>
      </w:hyperlink>
    </w:p>
    <w:p w14:paraId="5745F5AB" w14:textId="77777777" w:rsidR="0093166E" w:rsidRPr="00C63117" w:rsidRDefault="00C63117">
      <w:pPr>
        <w:spacing w:after="80"/>
        <w:rPr>
          <w:color w:val="auto"/>
        </w:rPr>
      </w:pPr>
      <w:hyperlink r:id="rId31">
        <w:r w:rsidRPr="00C63117">
          <w:rPr>
            <w:color w:val="auto"/>
            <w:sz w:val="19"/>
            <w:u w:val="single"/>
          </w:rPr>
          <w:t>Pison — Senopati concept and location</w:t>
        </w:r>
      </w:hyperlink>
    </w:p>
    <w:p w14:paraId="31EE7677" w14:textId="77777777" w:rsidR="0093166E" w:rsidRPr="00C63117" w:rsidRDefault="00C63117">
      <w:pPr>
        <w:spacing w:after="80"/>
        <w:rPr>
          <w:color w:val="auto"/>
        </w:rPr>
      </w:pPr>
      <w:hyperlink r:id="rId32">
        <w:r w:rsidRPr="00C63117">
          <w:rPr>
            <w:color w:val="auto"/>
            <w:sz w:val="19"/>
            <w:u w:val="single"/>
          </w:rPr>
          <w:t>SaladStop Indonesia — Locations</w:t>
        </w:r>
      </w:hyperlink>
    </w:p>
    <w:p w14:paraId="244388CD" w14:textId="77777777" w:rsidR="0093166E" w:rsidRPr="00C63117" w:rsidRDefault="00C63117">
      <w:pPr>
        <w:spacing w:after="80"/>
        <w:rPr>
          <w:color w:val="auto"/>
        </w:rPr>
      </w:pPr>
      <w:hyperlink r:id="rId33">
        <w:r w:rsidRPr="00C63117">
          <w:rPr>
            <w:color w:val="auto"/>
            <w:sz w:val="19"/>
            <w:u w:val="single"/>
          </w:rPr>
          <w:t>Burgreens — About the concept</w:t>
        </w:r>
      </w:hyperlink>
    </w:p>
    <w:p w14:paraId="4DE3E495" w14:textId="77777777" w:rsidR="0093166E" w:rsidRPr="00C63117" w:rsidRDefault="00C63117">
      <w:pPr>
        <w:spacing w:after="80"/>
        <w:rPr>
          <w:color w:val="auto"/>
        </w:rPr>
      </w:pPr>
      <w:hyperlink r:id="rId34">
        <w:r w:rsidRPr="00C63117">
          <w:rPr>
            <w:color w:val="auto"/>
            <w:sz w:val="19"/>
            <w:u w:val="single"/>
          </w:rPr>
          <w:t>Burgreens — Menu and outlet directory</w:t>
        </w:r>
      </w:hyperlink>
    </w:p>
    <w:p w14:paraId="3AC5063D" w14:textId="77777777" w:rsidR="0093166E" w:rsidRPr="00C63117" w:rsidRDefault="00C63117">
      <w:pPr>
        <w:spacing w:after="80"/>
        <w:rPr>
          <w:color w:val="auto"/>
        </w:rPr>
      </w:pPr>
      <w:hyperlink r:id="rId35">
        <w:r w:rsidRPr="00C63117">
          <w:rPr>
            <w:color w:val="auto"/>
            <w:sz w:val="19"/>
            <w:u w:val="single"/>
          </w:rPr>
          <w:t>HONU — Official menu and outlet links</w:t>
        </w:r>
      </w:hyperlink>
    </w:p>
    <w:p w14:paraId="338D3165" w14:textId="77777777" w:rsidR="0093166E" w:rsidRPr="00C63117" w:rsidRDefault="00C63117">
      <w:pPr>
        <w:spacing w:after="80"/>
        <w:rPr>
          <w:color w:val="auto"/>
        </w:rPr>
      </w:pPr>
      <w:hyperlink r:id="rId36">
        <w:r w:rsidRPr="00C63117">
          <w:rPr>
            <w:color w:val="auto"/>
            <w:sz w:val="19"/>
            <w:u w:val="single"/>
          </w:rPr>
          <w:t>The Jakarta Post — Gudda Coffee and Kopi Sana community examples</w:t>
        </w:r>
      </w:hyperlink>
    </w:p>
    <w:p w14:paraId="4AACC45C" w14:textId="77777777" w:rsidR="0093166E" w:rsidRPr="00C63117" w:rsidRDefault="00C63117">
      <w:pPr>
        <w:spacing w:after="80"/>
        <w:rPr>
          <w:color w:val="auto"/>
        </w:rPr>
      </w:pPr>
      <w:r w:rsidRPr="00C63117">
        <w:rPr>
          <w:color w:val="auto"/>
          <w:sz w:val="19"/>
        </w:rPr>
        <w:t>Team research — Tiago Reimann, Customer Behaviour Report and Extended Data, competitor and review analysis, pp 5, 8 and 10 and source 49 of Extended Data.</w:t>
      </w:r>
    </w:p>
    <w:p w14:paraId="60F5E100" w14:textId="77777777" w:rsidR="0093166E" w:rsidRPr="00C63117" w:rsidRDefault="00C63117">
      <w:pPr>
        <w:spacing w:after="80"/>
        <w:rPr>
          <w:color w:val="auto"/>
        </w:rPr>
      </w:pPr>
      <w:hyperlink r:id="rId37">
        <w:r w:rsidRPr="00C63117">
          <w:rPr>
            <w:color w:val="auto"/>
            <w:sz w:val="19"/>
            <w:u w:val="single"/>
          </w:rPr>
          <w:t>ANTARA 26 September 2018 — Mencicipi menu warteg sehat di Fedwell</w:t>
        </w:r>
      </w:hyperlink>
    </w:p>
    <w:p w14:paraId="53C5A633" w14:textId="77777777" w:rsidR="0093166E" w:rsidRPr="00C63117" w:rsidRDefault="00C63117">
      <w:pPr>
        <w:pStyle w:val="Heading1"/>
        <w:pageBreakBefore/>
        <w:spacing w:before="360"/>
        <w:rPr>
          <w:color w:val="auto"/>
        </w:rPr>
      </w:pPr>
      <w:r w:rsidRPr="00C63117">
        <w:rPr>
          <w:color w:val="auto"/>
        </w:rPr>
        <w:t>6 Transfer and adaptation priorities</w:t>
      </w:r>
    </w:p>
    <w:p w14:paraId="6085CD44" w14:textId="77777777" w:rsidR="0093166E" w:rsidRPr="00C63117" w:rsidRDefault="00C63117">
      <w:pPr>
        <w:rPr>
          <w:color w:val="auto"/>
        </w:rPr>
      </w:pPr>
      <w:r w:rsidRPr="00C63117">
        <w:rPr>
          <w:color w:val="auto"/>
        </w:rPr>
        <w:t>Scope questions: Which parts of CORSA’s concept are likely to transfer well? Which parts may need adaptation?</w:t>
      </w:r>
    </w:p>
    <w:p w14:paraId="08208246" w14:textId="77777777" w:rsidR="0093166E" w:rsidRPr="00C63117" w:rsidRDefault="00C63117">
      <w:pPr>
        <w:pStyle w:val="Heading2"/>
        <w:rPr>
          <w:color w:val="auto"/>
        </w:rPr>
      </w:pPr>
      <w:r w:rsidRPr="00C63117">
        <w:rPr>
          <w:color w:val="auto"/>
        </w:rPr>
        <w:t>What is most likely to transfer</w:t>
      </w:r>
    </w:p>
    <w:p w14:paraId="62325F5D" w14:textId="77777777" w:rsidR="0093166E" w:rsidRPr="00C63117" w:rsidRDefault="00C63117">
      <w:pPr>
        <w:rPr>
          <w:color w:val="auto"/>
        </w:rPr>
      </w:pPr>
      <w:r w:rsidRPr="00C63117">
        <w:rPr>
          <w:color w:val="auto"/>
        </w:rPr>
        <w:t>Coffee combined with food and a welcoming place to gather has the clearest support from the existing Jakarta café evidence. Recurring community activities are also a plausible fit. Health-conscious positioning can support these occasions if customers understand the benefit and enjoy the product. These are promising components, rather than validation of the complete CORSA concept.</w:t>
      </w:r>
    </w:p>
    <w:p w14:paraId="41816BDF" w14:textId="77777777" w:rsidR="0093166E" w:rsidRPr="00C63117" w:rsidRDefault="00C63117">
      <w:pPr>
        <w:pStyle w:val="Heading2"/>
        <w:rPr>
          <w:color w:val="auto"/>
        </w:rPr>
      </w:pPr>
      <w:r w:rsidRPr="00C63117">
        <w:rPr>
          <w:color w:val="auto"/>
        </w:rPr>
        <w:t>What requires local adaptation or testing</w:t>
      </w:r>
    </w:p>
    <w:p w14:paraId="1D1411DF" w14:textId="77777777" w:rsidR="0093166E" w:rsidRPr="00C63117" w:rsidRDefault="00C63117">
      <w:pPr>
        <w:rPr>
          <w:color w:val="auto"/>
        </w:rPr>
      </w:pPr>
      <w:r w:rsidRPr="00C63117">
        <w:rPr>
          <w:color w:val="auto"/>
        </w:rPr>
        <w:t>The highest priorities are the role of pasta as a repeat meal, flavours and portions, halal assurance, accessible entry purchases and the meaning of “healthy”. Test whether the Italian racing identity feels distinctive and welcoming beyond motorsport fans. The reports do not yet establish that Swiss brand associations or a racing aesthetic create willingness to pay in Jakarta.</w:t>
      </w:r>
    </w:p>
    <w:p w14:paraId="25FE52E8" w14:textId="77777777" w:rsidR="0093166E" w:rsidRPr="00C63117" w:rsidRDefault="00C63117">
      <w:pPr>
        <w:rPr>
          <w:color w:val="auto"/>
        </w:rPr>
      </w:pPr>
      <w:r w:rsidRPr="00C63117">
        <w:rPr>
          <w:color w:val="auto"/>
        </w:rPr>
        <w:t>The October 2026 update makes halal assurance a concrete entry requirement to resolve alongside cultural fit. Customer interviews establish expectations; regulatory confirmation establishes the applicable certification and operating requirements. Complete both before locking the Jakarta menu and opening assumptions.</w:t>
      </w:r>
    </w:p>
    <w:p w14:paraId="28BF5F48" w14:textId="77777777" w:rsidR="0093166E" w:rsidRPr="00C63117" w:rsidRDefault="00C63117">
      <w:pPr>
        <w:pStyle w:val="Heading2"/>
        <w:rPr>
          <w:color w:val="auto"/>
        </w:rPr>
      </w:pPr>
      <w:r w:rsidRPr="00C63117">
        <w:rPr>
          <w:color w:val="auto"/>
        </w:rPr>
        <w:t>Questions to take into customer research</w:t>
      </w:r>
    </w:p>
    <w:p w14:paraId="50B70E31" w14:textId="77777777" w:rsidR="0093166E" w:rsidRPr="00C63117" w:rsidRDefault="00C63117">
      <w:pPr>
        <w:pStyle w:val="ListBullet"/>
        <w:rPr>
          <w:color w:val="auto"/>
        </w:rPr>
      </w:pPr>
      <w:r w:rsidRPr="00C63117">
        <w:rPr>
          <w:color w:val="auto"/>
        </w:rPr>
        <w:t>Customers and occasions — What did you buy on your last weekday lunch, café visit and post-exercise outing? Where were you coming from, who joined you, and what would make you switch venues?</w:t>
      </w:r>
    </w:p>
    <w:p w14:paraId="19A8611E" w14:textId="77777777" w:rsidR="0093166E" w:rsidRPr="00C63117" w:rsidRDefault="00C63117">
      <w:pPr>
        <w:pStyle w:val="ListBullet"/>
        <w:rPr>
          <w:color w:val="auto"/>
        </w:rPr>
      </w:pPr>
      <w:r w:rsidRPr="00C63117">
        <w:rPr>
          <w:color w:val="auto"/>
        </w:rPr>
        <w:t>Product and value — Which core or adapted recipe would you buy again, for which occasion and at what price? Tiago proposes 30–50 target-customer taste testers and three price levels. Treat the exercise as exploratory and combine stated interest with a paid trial where possible.</w:t>
      </w:r>
    </w:p>
    <w:p w14:paraId="6BA28447" w14:textId="77777777" w:rsidR="0093166E" w:rsidRPr="00C63117" w:rsidRDefault="00C63117">
      <w:pPr>
        <w:pStyle w:val="ListBullet"/>
        <w:rPr>
          <w:color w:val="auto"/>
        </w:rPr>
      </w:pPr>
      <w:r w:rsidRPr="00C63117">
        <w:rPr>
          <w:color w:val="auto"/>
        </w:rPr>
        <w:t>Trust and identity — What halal assurance and ingredient information do you expect? What do “healthy food” and the CORSA brand communicate to you? Ask openly before showing preferred answers.</w:t>
      </w:r>
    </w:p>
    <w:p w14:paraId="54B98377" w14:textId="77777777" w:rsidR="0093166E" w:rsidRPr="00C63117" w:rsidRDefault="00C63117">
      <w:pPr>
        <w:pStyle w:val="ListBullet"/>
        <w:rPr>
          <w:color w:val="auto"/>
        </w:rPr>
      </w:pPr>
      <w:r w:rsidRPr="00C63117">
        <w:rPr>
          <w:color w:val="auto"/>
        </w:rPr>
        <w:t>Community and repeat use — Would you return without a scheduled event or promotion? Track purchases and later visits after the two proposed community tests.</w:t>
      </w:r>
    </w:p>
    <w:p w14:paraId="6BF546D1" w14:textId="77777777" w:rsidR="0093166E" w:rsidRPr="00C63117" w:rsidRDefault="00C63117">
      <w:pPr>
        <w:rPr>
          <w:color w:val="auto"/>
        </w:rPr>
      </w:pPr>
      <w:r w:rsidRPr="00C63117">
        <w:rPr>
          <w:color w:val="auto"/>
        </w:rPr>
        <w:t>Recruit people who actually live, work or regularly spend time in Jakarta, including non-fitness customers. Screen any university-network participants for that connection before treating their answers as Jakarta evidence. Involve at least one Jakarta-based food, café or community practitioner to challenge the cultural interpretation.</w:t>
      </w:r>
    </w:p>
    <w:p w14:paraId="3BAAB0EB" w14:textId="77777777" w:rsidR="0093166E" w:rsidRPr="00C63117" w:rsidRDefault="00C63117">
      <w:pPr>
        <w:rPr>
          <w:color w:val="auto"/>
        </w:rPr>
      </w:pPr>
      <w:r w:rsidRPr="00C63117">
        <w:rPr>
          <w:color w:val="auto"/>
        </w:rPr>
        <w:t>Provide Team B with observed price acceptance, paid trial conversion, repeat frequency and the proportion of group participants who purchase. Keep these separate from national survey averages and the team’s segment scores. The Statista “CORSA Core” profile also needs a documented filter before its results can substantiate the proposed audience.</w:t>
      </w:r>
    </w:p>
    <w:p w14:paraId="1E51FDEA" w14:textId="77777777" w:rsidR="0093166E" w:rsidRPr="00C63117" w:rsidRDefault="00C63117">
      <w:pPr>
        <w:pStyle w:val="Heading2"/>
        <w:rPr>
          <w:color w:val="auto"/>
        </w:rPr>
      </w:pPr>
      <w:r w:rsidRPr="00C63117">
        <w:rPr>
          <w:color w:val="auto"/>
        </w:rPr>
        <w:t>Sources</w:t>
      </w:r>
    </w:p>
    <w:p w14:paraId="4A86CBFB" w14:textId="77777777" w:rsidR="0093166E" w:rsidRPr="00C63117" w:rsidRDefault="00C63117">
      <w:pPr>
        <w:spacing w:after="80"/>
        <w:rPr>
          <w:color w:val="auto"/>
        </w:rPr>
      </w:pPr>
      <w:r w:rsidRPr="00C63117">
        <w:rPr>
          <w:color w:val="auto"/>
          <w:sz w:val="19"/>
        </w:rPr>
        <w:t xml:space="preserve">CORSA Jakarta </w:t>
      </w:r>
      <w:r w:rsidRPr="00C63117">
        <w:rPr>
          <w:color w:val="auto"/>
          <w:sz w:val="19"/>
        </w:rPr>
        <w:t>Updated Project Scope, section 6; Geography and Culture CORSA1; Tiago Reimann, Customer Behaviour Report and Extended Data, pp 4 and 10; Paul, Report 1, PDF p 3. The recommendations above synthesise these inputs and the evidence cited in sections 1–5.</w:t>
      </w:r>
    </w:p>
    <w:sectPr w:rsidR="0093166E" w:rsidRPr="00C63117" w:rsidSect="00034616">
      <w:footerReference w:type="default" r:id="rId38"/>
      <w:pgSz w:w="11909" w:h="16834"/>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EA21B" w14:textId="77777777" w:rsidR="00C63117" w:rsidRDefault="00C63117">
      <w:pPr>
        <w:spacing w:after="0" w:line="240" w:lineRule="auto"/>
      </w:pPr>
      <w:r>
        <w:separator/>
      </w:r>
    </w:p>
  </w:endnote>
  <w:endnote w:type="continuationSeparator" w:id="0">
    <w:p w14:paraId="058CAE7F" w14:textId="77777777" w:rsidR="00C63117" w:rsidRDefault="00C631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74839" w14:textId="77777777" w:rsidR="0093166E" w:rsidRDefault="00C63117">
    <w:pPr>
      <w:pStyle w:val="Footer"/>
      <w:jc w:val="right"/>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1DA8BB" w14:textId="77777777" w:rsidR="00C63117" w:rsidRDefault="00C63117">
      <w:pPr>
        <w:spacing w:after="0" w:line="240" w:lineRule="auto"/>
      </w:pPr>
      <w:r>
        <w:separator/>
      </w:r>
    </w:p>
  </w:footnote>
  <w:footnote w:type="continuationSeparator" w:id="0">
    <w:p w14:paraId="3F4B3C30" w14:textId="77777777" w:rsidR="00C63117" w:rsidRDefault="00C631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942115">
    <w:abstractNumId w:val="8"/>
  </w:num>
  <w:num w:numId="2" w16cid:durableId="1361667139">
    <w:abstractNumId w:val="6"/>
  </w:num>
  <w:num w:numId="3" w16cid:durableId="1478304917">
    <w:abstractNumId w:val="5"/>
  </w:num>
  <w:num w:numId="4" w16cid:durableId="47193766">
    <w:abstractNumId w:val="4"/>
  </w:num>
  <w:num w:numId="5" w16cid:durableId="1744060331">
    <w:abstractNumId w:val="7"/>
  </w:num>
  <w:num w:numId="6" w16cid:durableId="356397608">
    <w:abstractNumId w:val="3"/>
  </w:num>
  <w:num w:numId="7" w16cid:durableId="1628075678">
    <w:abstractNumId w:val="2"/>
  </w:num>
  <w:num w:numId="8" w16cid:durableId="1133138167">
    <w:abstractNumId w:val="1"/>
  </w:num>
  <w:num w:numId="9" w16cid:durableId="15694128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F0F1D"/>
    <w:rsid w:val="0093166E"/>
    <w:rsid w:val="00AA1D8D"/>
    <w:rsid w:val="00B47730"/>
    <w:rsid w:val="00C6311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7FCF4B"/>
  <w14:defaultImageDpi w14:val="300"/>
  <w15:docId w15:val="{3AA63B1A-B1EE-3C49-B418-CAB6DA444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45"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pps.fas.usda.gov/newgainapi/api/Report/DownloadReportByFileName?fileName=Food+Service+-+Hotel+Restaurant+Institutional+Annual_Jakarta_Indonesia_ID2025-0049.pdf" TargetMode="External"/><Relationship Id="rId18" Type="http://schemas.openxmlformats.org/officeDocument/2006/relationships/hyperlink" Target="https://repository.unsoed.ac.id/4291/" TargetMode="External"/><Relationship Id="rId26" Type="http://schemas.openxmlformats.org/officeDocument/2006/relationships/hyperlink" Target="https://bpjph.halal.go.id/read/tak-hanya-makanan-minuman-ini-jenis-produk-yang-wajib-bersertifikat-halal-mulai-18-oktober-2026" TargetMode="External"/><Relationship Id="rId39" Type="http://schemas.openxmlformats.org/officeDocument/2006/relationships/fontTable" Target="fontTable.xml"/><Relationship Id="rId21" Type="http://schemas.openxmlformats.org/officeDocument/2006/relationships/hyperlink" Target="https://nielseniq.com/global/en/news-center/2025/niq-indonesian-consumers-reassess-health-priorities-seek-greater-transparency-support-and-smart-solutions/" TargetMode="External"/><Relationship Id="rId34" Type="http://schemas.openxmlformats.org/officeDocument/2006/relationships/hyperlink" Target="https://www.burgreens.com/restaurant_menu" TargetMode="External"/><Relationship Id="rId7" Type="http://schemas.openxmlformats.org/officeDocument/2006/relationships/endnotes" Target="endnotes.xml"/><Relationship Id="rId12" Type="http://schemas.openxmlformats.org/officeDocument/2006/relationships/hyperlink" Target="https://insight.jakpat.net/healthy-living-and-coffee-trends-in-2025/" TargetMode="External"/><Relationship Id="rId17" Type="http://schemas.openxmlformats.org/officeDocument/2006/relationships/hyperlink" Target="https://journal.uir.ac.id/index.php/syarikat/article/view/21687" TargetMode="External"/><Relationship Id="rId25" Type="http://schemas.openxmlformats.org/officeDocument/2006/relationships/hyperlink" Target="https://bpjph.halal.go.id/detail/masa-penahapan-usai-kewajiban-sertifikasi-halal-berlaku-mulai-18-oktober-2024" TargetMode="External"/><Relationship Id="rId33" Type="http://schemas.openxmlformats.org/officeDocument/2006/relationships/hyperlink" Target="https://www.burgreens.com/about-us" TargetMode="External"/><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ikpi.or.id/ikpi-runner-community-gelar-sunset-run-5k-di-gbk-perkuat-kebugaran-keakraban-anggota/" TargetMode="External"/><Relationship Id="rId20" Type="http://schemas.openxmlformats.org/officeDocument/2006/relationships/hyperlink" Target="https://insight.jakpat.net/consumer-insights-local-food-beverage-market/" TargetMode="External"/><Relationship Id="rId29" Type="http://schemas.openxmlformats.org/officeDocument/2006/relationships/hyperlink" Target="https://bpjph.halal.go.id/read/penegasan-bpjph-di-sidang-wto-dari-produk-nonhalal-dapat-diimpor-hingga-skema-registrasi-halal-luar-negeri"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epository.uinjkt.ac.id/dspace/handle/123456789/71502" TargetMode="External"/><Relationship Id="rId24" Type="http://schemas.openxmlformats.org/officeDocument/2006/relationships/hyperlink" Target="https://peraturan.go.id/id/pp-no-42-tahun-2024" TargetMode="External"/><Relationship Id="rId32" Type="http://schemas.openxmlformats.org/officeDocument/2006/relationships/hyperlink" Target="https://saladstop.co.id/locations/" TargetMode="External"/><Relationship Id="rId37" Type="http://schemas.openxmlformats.org/officeDocument/2006/relationships/hyperlink" Target="https://www.antaranews.com/berita/752109/mencicipi-menu-warteg-sehat-di-fedwell"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runningcrews.com/blog/running-with-rhyme-and-peace-jakarta" TargetMode="External"/><Relationship Id="rId23" Type="http://schemas.openxmlformats.org/officeDocument/2006/relationships/hyperlink" Target="https://apps.fas.usda.gov/newgainapi/api/Report/DownloadReportByFileName?fileName=Food+Service+-+Hotel+Restaurant+Institutional+Annual_Jakarta_Indonesia_ID2025-0049.pdf" TargetMode="External"/><Relationship Id="rId28" Type="http://schemas.openxmlformats.org/officeDocument/2006/relationships/hyperlink" Target="https://bpjph.halal.go.id/main/read/jelang-wajib-halal-bpjph-ingatkan-jaringan-restoran-jaga-konsistensi-jph-di-setiap-outlet" TargetMode="External"/><Relationship Id="rId36" Type="http://schemas.openxmlformats.org/officeDocument/2006/relationships/hyperlink" Target="https://weekender.thejakartapost.com/the-weekend-digest/2025/06/04/the-coffee-run-a-third-space-for-every-pace.html" TargetMode="External"/><Relationship Id="rId10" Type="http://schemas.openxmlformats.org/officeDocument/2006/relationships/hyperlink" Target="https://border.upnjatim.ac.id/index.php/border/article/download/782/86/1106" TargetMode="External"/><Relationship Id="rId19" Type="http://schemas.openxmlformats.org/officeDocument/2006/relationships/hyperlink" Target="https://insight.jakpat.net/healthy-living-and-coffee-trends-in-2025/" TargetMode="External"/><Relationship Id="rId31" Type="http://schemas.openxmlformats.org/officeDocument/2006/relationships/hyperlink" Target="https://pisonindonesia.com/pison-senopati/" TargetMode="External"/><Relationship Id="rId4" Type="http://schemas.openxmlformats.org/officeDocument/2006/relationships/settings" Target="settings.xml"/><Relationship Id="rId9" Type="http://schemas.openxmlformats.org/officeDocument/2006/relationships/hyperlink" Target="https://journal.ipb.ac.id/jcfcs/article/view/56121" TargetMode="External"/><Relationship Id="rId14" Type="http://schemas.openxmlformats.org/officeDocument/2006/relationships/hyperlink" Target="https://weekender.thejakartapost.com/the-weekend-digest/2025/06/04/the-coffee-run-a-third-space-for-every-pace.html" TargetMode="External"/><Relationship Id="rId22" Type="http://schemas.openxmlformats.org/officeDocument/2006/relationships/hyperlink" Target="https://apps.fas.usda.gov/newgainapi/api/Report/DownloadReportByFileName?fileName=Indonesia%27s+Expanding+Halal+Standards+with+Trade+Impacts+on+the+Horizon_Jakarta_Indonesia_ID2025-0035" TargetMode="External"/><Relationship Id="rId27" Type="http://schemas.openxmlformats.org/officeDocument/2006/relationships/hyperlink" Target="https://bpjph.halal.go.id/read/wajib-halal-berlaku-18-oktober-2026-bpjph-siapkan-aturan-yang-memudahkan-pelaku-usaha" TargetMode="External"/><Relationship Id="rId30" Type="http://schemas.openxmlformats.org/officeDocument/2006/relationships/hyperlink" Target="https://linktr.ee/common.grounds.coffee" TargetMode="External"/><Relationship Id="rId35" Type="http://schemas.openxmlformats.org/officeDocument/2006/relationships/hyperlink" Target="https://linktr.ee/honueats" TargetMode="External"/><Relationship Id="rId8" Type="http://schemas.openxmlformats.org/officeDocument/2006/relationships/hyperlink" Target="https://repository.ipb.ac.id/handle/123456789/158947"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5037</Words>
  <Characters>29370</Characters>
  <Application>Microsoft Office Word</Application>
  <DocSecurity>0</DocSecurity>
  <Lines>451</Lines>
  <Paragraphs>244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34163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CORSA Jakarta Geography and Culture Research</dc:title>
  <dc:subject>Geography and culture research with verified halal regulation update as of 12 October 2026</dc:subject>
  <dc:creator>python-docx</dc:creator>
  <cp:keywords/>
  <dc:description>generated by python-docx</dc:description>
  <cp:lastModifiedBy>Normand, Matthieu</cp:lastModifiedBy>
  <cp:revision>2</cp:revision>
  <dcterms:created xsi:type="dcterms:W3CDTF">2026-10-12T13:19:00Z</dcterms:created>
  <dcterms:modified xsi:type="dcterms:W3CDTF">2026-10-12T13:19:00Z</dcterms:modified>
  <cp:category/>
</cp:coreProperties>
</file>