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1E41" w14:textId="77777777" w:rsidR="00F122F4" w:rsidRPr="00B75EFA" w:rsidRDefault="00B75EFA">
      <w:pPr>
        <w:rPr>
          <w:lang w:val="it-CH"/>
        </w:rPr>
      </w:pPr>
      <w:r w:rsidRPr="00B75EFA">
        <w:rPr>
          <w:b/>
          <w:color w:val="C61410"/>
          <w:sz w:val="17"/>
          <w:lang w:val="it-CH"/>
        </w:rPr>
        <w:t>01   ECONOMIC   |   CAGE FRAMEWORK</w:t>
      </w:r>
    </w:p>
    <w:p w14:paraId="0FF7707E" w14:textId="77777777" w:rsidR="00F122F4" w:rsidRPr="00B75EFA" w:rsidRDefault="00B75EFA">
      <w:pPr>
        <w:pStyle w:val="Title"/>
        <w:rPr>
          <w:lang w:val="it-CH"/>
        </w:rPr>
      </w:pPr>
      <w:r w:rsidRPr="00B75EFA">
        <w:rPr>
          <w:lang w:val="it-CH"/>
        </w:rPr>
        <w:t>CORSA Jakarta Economic</w:t>
      </w:r>
    </w:p>
    <w:p w14:paraId="22A35330" w14:textId="77777777" w:rsidR="00F122F4" w:rsidRDefault="00B75EFA">
      <w:r>
        <w:t xml:space="preserve">The evidence supports testing a healthier café offer, but it does not establish a viable selling price. Price acceptance and repeat purchases must be measured among reachable Jakarta </w:t>
      </w:r>
      <w:r>
        <w:t>customers.</w:t>
      </w:r>
    </w:p>
    <w:p w14:paraId="6EBB21DD" w14:textId="2B9FEEE6" w:rsidR="00F122F4" w:rsidRPr="00B75EFA" w:rsidRDefault="00B75EFA">
      <w:pPr>
        <w:pStyle w:val="Heading1"/>
        <w:rPr>
          <w:sz w:val="36"/>
          <w:szCs w:val="36"/>
        </w:rPr>
      </w:pPr>
      <w:r w:rsidRPr="00B75EFA">
        <w:rPr>
          <w:sz w:val="36"/>
          <w:szCs w:val="36"/>
        </w:rPr>
        <w:t>Will customers pay more for healthier food?</w:t>
      </w:r>
    </w:p>
    <w:p w14:paraId="1C0F1BCA" w14:textId="77777777" w:rsidR="00F122F4" w:rsidRDefault="00B75EFA">
      <w:pPr>
        <w:spacing w:after="60"/>
      </w:pPr>
      <w:r>
        <w:rPr>
          <w:noProof/>
        </w:rPr>
        <w:drawing>
          <wp:inline distT="0" distB="0" distL="0" distR="0" wp14:anchorId="01DBD6D2" wp14:editId="69CCDF1F">
            <wp:extent cx="630936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DBA5" w14:textId="77777777" w:rsidR="00F122F4" w:rsidRDefault="00B75EFA">
      <w:r>
        <w:rPr>
          <w:sz w:val="17"/>
        </w:rPr>
        <w:t>NIQ 2025 • Indonesian adult grocery shoppers. Stated willingness to pay for nutritionally enhanced food; separate indicators, not mutually exclusive groups. Indonesia sample size is not stated in the release.</w:t>
      </w:r>
    </w:p>
    <w:p w14:paraId="315BF274" w14:textId="77777777" w:rsidR="00F122F4" w:rsidRDefault="00B75EFA">
      <w:r>
        <w:t>These figures cannot set a restaurant markup. The questions concern food products and healthier living, not CORSA meals. Use them to test the value of a specific recipe and portion at a local price.</w:t>
      </w:r>
    </w:p>
    <w:p w14:paraId="2F7117BF" w14:textId="77777777" w:rsidR="00F122F4" w:rsidRDefault="00B75EFA">
      <w:pPr>
        <w:spacing w:after="120" w:line="240" w:lineRule="auto"/>
      </w:pPr>
      <w:r>
        <w:rPr>
          <w:b/>
          <w:sz w:val="16"/>
        </w:rPr>
        <w:t xml:space="preserve">Sources  </w:t>
      </w:r>
      <w:hyperlink r:id="rId9">
        <w:r>
          <w:rPr>
            <w:color w:val="C61410"/>
            <w:sz w:val="16"/>
          </w:rPr>
          <w:t>NIQ Indonesian health priorities 2025</w:t>
        </w:r>
      </w:hyperlink>
    </w:p>
    <w:p w14:paraId="200D6B17" w14:textId="77777777" w:rsidR="00B75EFA" w:rsidRDefault="00B75EFA">
      <w:pPr>
        <w:spacing w:after="120" w:line="240" w:lineRule="auto"/>
      </w:pPr>
    </w:p>
    <w:p w14:paraId="20A8B86E" w14:textId="319CC66C" w:rsidR="00F122F4" w:rsidRPr="00B75EFA" w:rsidRDefault="00B75EFA">
      <w:pPr>
        <w:pStyle w:val="Heading1"/>
        <w:rPr>
          <w:sz w:val="36"/>
          <w:szCs w:val="36"/>
        </w:rPr>
      </w:pPr>
      <w:r w:rsidRPr="00B75EFA">
        <w:rPr>
          <w:sz w:val="36"/>
          <w:szCs w:val="36"/>
        </w:rPr>
        <w:t>What makes a meal feel worth buying?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192"/>
      </w:tblGrid>
      <w:tr w:rsidR="00F122F4" w14:paraId="3B7C7582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000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B816BA" w14:textId="77777777" w:rsidR="00F122F4" w:rsidRDefault="00B75EFA">
            <w:pPr>
              <w:spacing w:after="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000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C8AFA" w14:textId="77777777" w:rsidR="00F122F4" w:rsidRDefault="00B75EFA">
            <w:pPr>
              <w:spacing w:after="0"/>
            </w:pPr>
            <w:r>
              <w:rPr>
                <w:b/>
                <w:color w:val="FFFFFF"/>
                <w:sz w:val="19"/>
              </w:rPr>
              <w:t>Implication for CORSA</w:t>
            </w:r>
          </w:p>
        </w:tc>
      </w:tr>
      <w:tr w:rsidR="00F122F4" w14:paraId="23CE689C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B4CA27" w14:textId="77777777" w:rsidR="00F122F4" w:rsidRDefault="00B75EFA">
            <w:pPr>
              <w:spacing w:after="0"/>
            </w:pPr>
            <w:r>
              <w:rPr>
                <w:sz w:val="19"/>
              </w:rPr>
              <w:t>Jakpat 2025</w:t>
            </w:r>
            <w:r>
              <w:rPr>
                <w:sz w:val="19"/>
              </w:rPr>
              <w:br/>
              <w:t>995 respondents in eight Java urban areas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BC106A" w14:textId="77777777" w:rsidR="00F122F4" w:rsidRDefault="00B75EFA">
            <w:pPr>
              <w:spacing w:after="0"/>
            </w:pPr>
            <w:r>
              <w:rPr>
                <w:sz w:val="19"/>
              </w:rPr>
              <w:t>The public summary highlights affordability and flavour as dining-place drivers. Test both together.</w:t>
            </w:r>
          </w:p>
        </w:tc>
      </w:tr>
      <w:tr w:rsidR="00F122F4" w14:paraId="1B05109F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8FE1B1" w14:textId="77777777" w:rsidR="00F122F4" w:rsidRDefault="00B75EFA">
            <w:pPr>
              <w:spacing w:after="0"/>
            </w:pPr>
            <w:r>
              <w:rPr>
                <w:sz w:val="19"/>
              </w:rPr>
              <w:t>Cipete Raya thesis 2019</w:t>
            </w:r>
            <w:r>
              <w:rPr>
                <w:sz w:val="19"/>
              </w:rPr>
              <w:br/>
              <w:t>Ten South Jakarta cafés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D225E7" w14:textId="77777777" w:rsidR="00F122F4" w:rsidRDefault="00B75EFA">
            <w:pPr>
              <w:spacing w:after="0"/>
            </w:pPr>
            <w:r>
              <w:rPr>
                <w:sz w:val="19"/>
              </w:rPr>
              <w:t xml:space="preserve">Price, taste and comfort </w:t>
            </w:r>
            <w:r>
              <w:rPr>
                <w:sz w:val="19"/>
              </w:rPr>
              <w:t>feature in purchasing decisions. The older local study cannot supply a current price list.</w:t>
            </w:r>
          </w:p>
        </w:tc>
      </w:tr>
      <w:tr w:rsidR="00F122F4" w14:paraId="6BE06D26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5B676C" w14:textId="77777777" w:rsidR="00F122F4" w:rsidRDefault="00B75EFA">
            <w:pPr>
              <w:spacing w:after="0"/>
            </w:pPr>
            <w:r>
              <w:rPr>
                <w:sz w:val="19"/>
              </w:rPr>
              <w:t>IPB Jakarta studies 2024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9B74E6" w14:textId="77777777" w:rsidR="00F122F4" w:rsidRDefault="00B75EFA">
            <w:pPr>
              <w:spacing w:after="0"/>
            </w:pPr>
            <w:r>
              <w:rPr>
                <w:sz w:val="19"/>
              </w:rPr>
              <w:t>Income relates to healthy-food and coffee purchasing. Professional status alone does not establish spending capacity.</w:t>
            </w:r>
          </w:p>
        </w:tc>
      </w:tr>
    </w:tbl>
    <w:p w14:paraId="1BC84397" w14:textId="77777777" w:rsidR="00F122F4" w:rsidRDefault="00F122F4">
      <w:pPr>
        <w:spacing w:after="0"/>
      </w:pPr>
    </w:p>
    <w:p w14:paraId="6CD5CA33" w14:textId="64DA73F8" w:rsidR="00F122F4" w:rsidRPr="00B75EFA" w:rsidRDefault="00B75EFA">
      <w:pPr>
        <w:rPr>
          <w:color w:val="auto"/>
        </w:rPr>
      </w:pPr>
      <w:r w:rsidRPr="00B75EFA">
        <w:rPr>
          <w:color w:val="auto"/>
        </w:rPr>
        <w:t xml:space="preserve">Compare a meal-and-drink basket with what respondents bought on their last similar visit. Record actual spending, acceptable price and expected visit frequency. </w:t>
      </w:r>
    </w:p>
    <w:p w14:paraId="60BAF844" w14:textId="77777777" w:rsidR="00F122F4" w:rsidRDefault="00B75EFA">
      <w:pPr>
        <w:spacing w:after="120" w:line="240" w:lineRule="auto"/>
      </w:pPr>
      <w:r>
        <w:rPr>
          <w:b/>
          <w:sz w:val="16"/>
        </w:rPr>
        <w:t xml:space="preserve">Sources  </w:t>
      </w:r>
      <w:hyperlink r:id="rId10">
        <w:r>
          <w:rPr>
            <w:color w:val="C61410"/>
            <w:sz w:val="16"/>
          </w:rPr>
          <w:t>Jakpat local food and beverage 2025</w:t>
        </w:r>
      </w:hyperlink>
      <w:r>
        <w:rPr>
          <w:sz w:val="16"/>
        </w:rPr>
        <w:t xml:space="preserve">  •  </w:t>
      </w:r>
      <w:hyperlink r:id="rId11">
        <w:r>
          <w:rPr>
            <w:color w:val="C61410"/>
            <w:sz w:val="16"/>
          </w:rPr>
          <w:t>Cipete café thesis</w:t>
        </w:r>
      </w:hyperlink>
      <w:r>
        <w:rPr>
          <w:sz w:val="16"/>
        </w:rPr>
        <w:t xml:space="preserve">  •  </w:t>
      </w:r>
      <w:hyperlink r:id="rId12">
        <w:r>
          <w:rPr>
            <w:color w:val="C61410"/>
            <w:sz w:val="16"/>
          </w:rPr>
          <w:t>IPB healthy food</w:t>
        </w:r>
      </w:hyperlink>
      <w:r>
        <w:rPr>
          <w:sz w:val="16"/>
        </w:rPr>
        <w:t xml:space="preserve">  •  </w:t>
      </w:r>
      <w:hyperlink r:id="rId13">
        <w:r>
          <w:rPr>
            <w:color w:val="C61410"/>
            <w:sz w:val="16"/>
          </w:rPr>
          <w:t>IPB coffee purchases</w:t>
        </w:r>
      </w:hyperlink>
    </w:p>
    <w:p w14:paraId="7FD33E90" w14:textId="77777777" w:rsidR="00F122F4" w:rsidRDefault="00B75EFA">
      <w:r>
        <w:br w:type="page"/>
      </w:r>
    </w:p>
    <w:p w14:paraId="66140FCC" w14:textId="77777777" w:rsidR="00F122F4" w:rsidRDefault="00B75EFA">
      <w:r>
        <w:rPr>
          <w:b/>
          <w:color w:val="C61410"/>
          <w:sz w:val="17"/>
        </w:rPr>
        <w:lastRenderedPageBreak/>
        <w:t xml:space="preserve">02   </w:t>
      </w:r>
      <w:r>
        <w:rPr>
          <w:b/>
          <w:color w:val="C61410"/>
          <w:sz w:val="17"/>
        </w:rPr>
        <w:t>IMPLICATIONS FOR CORSA</w:t>
      </w:r>
    </w:p>
    <w:p w14:paraId="2AAEFE1F" w14:textId="6674E10B" w:rsidR="00F122F4" w:rsidRPr="00B75EFA" w:rsidRDefault="00B75EFA">
      <w:pPr>
        <w:pStyle w:val="Title"/>
        <w:rPr>
          <w:sz w:val="36"/>
          <w:szCs w:val="36"/>
        </w:rPr>
      </w:pPr>
      <w:r w:rsidRPr="00B75EFA">
        <w:rPr>
          <w:sz w:val="36"/>
          <w:szCs w:val="36"/>
        </w:rPr>
        <w:t>Which groups should be tested first?</w:t>
      </w:r>
    </w:p>
    <w:p w14:paraId="1657AC27" w14:textId="77777777" w:rsidR="00F122F4" w:rsidRDefault="00B75EFA">
      <w:pPr>
        <w:spacing w:after="60"/>
      </w:pPr>
      <w:r>
        <w:rPr>
          <w:noProof/>
        </w:rPr>
        <w:drawing>
          <wp:inline distT="0" distB="0" distL="0" distR="0" wp14:anchorId="7398A83D" wp14:editId="427B264B">
            <wp:extent cx="6309360" cy="2015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132F" w14:textId="77777777" w:rsidR="00F122F4" w:rsidRDefault="00B75EFA">
      <w:r>
        <w:rPr>
          <w:sz w:val="17"/>
        </w:rPr>
        <w:t>Tiago’s team assessment • judgement scores out of 30, not market shares or survey demand. The groups overlap; do not add them as separate customer pools.</w:t>
      </w:r>
    </w:p>
    <w:p w14:paraId="4C10C2B2" w14:textId="77777777" w:rsidR="00F122F4" w:rsidRDefault="00B75EFA">
      <w:r>
        <w:t xml:space="preserve">Prioritise professionals and </w:t>
      </w:r>
      <w:r>
        <w:t>residents who already buy café meals, with running groups as one way to reach them. Students and expats can be included, but age, occupation or nationality does not establish a premium budget.</w:t>
      </w:r>
    </w:p>
    <w:p w14:paraId="3A0A1196" w14:textId="77777777" w:rsidR="00F122F4" w:rsidRDefault="00B75EFA">
      <w:pPr>
        <w:rPr>
          <w:sz w:val="17"/>
        </w:rPr>
      </w:pPr>
      <w:r>
        <w:rPr>
          <w:sz w:val="17"/>
        </w:rPr>
        <w:t>Source: Tiago Reimann, Customer Behaviour Report and Extended Data, pp 7–8; Paul, Report 1, pp 5–6. These are supplied team files, without public links.</w:t>
      </w:r>
    </w:p>
    <w:p w14:paraId="74996C27" w14:textId="77777777" w:rsidR="00B75EFA" w:rsidRDefault="00B75EFA"/>
    <w:p w14:paraId="2F51890D" w14:textId="27D076F2" w:rsidR="00F122F4" w:rsidRPr="00B75EFA" w:rsidRDefault="00B75EFA">
      <w:pPr>
        <w:pStyle w:val="Heading1"/>
        <w:rPr>
          <w:sz w:val="36"/>
          <w:szCs w:val="36"/>
        </w:rPr>
      </w:pPr>
      <w:r w:rsidRPr="00B75EFA">
        <w:rPr>
          <w:sz w:val="36"/>
          <w:szCs w:val="36"/>
        </w:rPr>
        <w:t>How does a community become revenue?</w:t>
      </w:r>
    </w:p>
    <w:p w14:paraId="66037E3A" w14:textId="77777777" w:rsidR="00F122F4" w:rsidRDefault="00B75EFA">
      <w:pPr>
        <w:spacing w:after="60"/>
      </w:pPr>
      <w:r>
        <w:rPr>
          <w:noProof/>
        </w:rPr>
        <w:drawing>
          <wp:inline distT="0" distB="0" distL="0" distR="0" wp14:anchorId="0978E7F0" wp14:editId="7E6689BF">
            <wp:extent cx="6309360" cy="1443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n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5616"/>
      </w:tblGrid>
      <w:tr w:rsidR="00F122F4" w14:paraId="04BEBF1A" w14:textId="77777777">
        <w:trPr>
          <w:cantSplit/>
          <w:jc w:val="center"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000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0E745A" w14:textId="77777777" w:rsidR="00F122F4" w:rsidRDefault="00B75EFA">
            <w:pPr>
              <w:spacing w:after="0"/>
            </w:pPr>
            <w:r>
              <w:rPr>
                <w:b/>
                <w:color w:val="FFFFFF"/>
                <w:sz w:val="19"/>
              </w:rPr>
              <w:t>Measure in two trial events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000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926F25" w14:textId="77777777" w:rsidR="00F122F4" w:rsidRDefault="00B75EFA">
            <w:pPr>
              <w:spacing w:after="0"/>
            </w:pPr>
            <w:r>
              <w:rPr>
                <w:b/>
                <w:color w:val="FFFFFF"/>
                <w:sz w:val="19"/>
              </w:rPr>
              <w:t>Decision it supports</w:t>
            </w:r>
          </w:p>
        </w:tc>
      </w:tr>
      <w:tr w:rsidR="00F122F4" w14:paraId="5D579775" w14:textId="77777777">
        <w:trPr>
          <w:cantSplit/>
          <w:jc w:val="center"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B60810" w14:textId="77777777" w:rsidR="00F122F4" w:rsidRDefault="00B75EFA">
            <w:pPr>
              <w:spacing w:after="0"/>
            </w:pPr>
            <w:r>
              <w:rPr>
                <w:sz w:val="19"/>
              </w:rPr>
              <w:t>Attendance and proportion purchasing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600974" w14:textId="77777777" w:rsidR="00F122F4" w:rsidRDefault="00B75EFA">
            <w:pPr>
              <w:spacing w:after="0"/>
            </w:pPr>
            <w:r>
              <w:rPr>
                <w:sz w:val="19"/>
              </w:rPr>
              <w:t>Does participation lead to paid demand?</w:t>
            </w:r>
          </w:p>
        </w:tc>
      </w:tr>
      <w:tr w:rsidR="00F122F4" w14:paraId="643C3F39" w14:textId="77777777">
        <w:trPr>
          <w:cantSplit/>
          <w:jc w:val="center"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A4823" w14:textId="77777777" w:rsidR="00F122F4" w:rsidRDefault="00B75EFA">
            <w:pPr>
              <w:spacing w:after="0"/>
            </w:pPr>
            <w:r>
              <w:rPr>
                <w:sz w:val="19"/>
              </w:rPr>
              <w:t>Actual spend and product cost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8E1805" w14:textId="77777777" w:rsidR="00F122F4" w:rsidRDefault="00B75EFA">
            <w:pPr>
              <w:spacing w:after="0"/>
            </w:pPr>
            <w:r>
              <w:rPr>
                <w:sz w:val="19"/>
              </w:rPr>
              <w:t>Does the basket generate enough contribution?</w:t>
            </w:r>
          </w:p>
        </w:tc>
      </w:tr>
      <w:tr w:rsidR="00F122F4" w14:paraId="6D490213" w14:textId="77777777">
        <w:trPr>
          <w:cantSplit/>
          <w:jc w:val="center"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24B84" w14:textId="77777777" w:rsidR="00F122F4" w:rsidRDefault="00B75EFA">
            <w:pPr>
              <w:spacing w:after="0"/>
            </w:pPr>
            <w:r>
              <w:rPr>
                <w:sz w:val="19"/>
              </w:rPr>
              <w:t>Return visits outside events or discounts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27F0AD" w14:textId="77777777" w:rsidR="00F122F4" w:rsidRDefault="00B75EFA">
            <w:pPr>
              <w:spacing w:after="0"/>
            </w:pPr>
            <w:r>
              <w:rPr>
                <w:sz w:val="19"/>
              </w:rPr>
              <w:t>Is demand recurring rather than promotion-dependent?</w:t>
            </w:r>
          </w:p>
        </w:tc>
      </w:tr>
      <w:tr w:rsidR="00F122F4" w14:paraId="01B32BDD" w14:textId="77777777">
        <w:trPr>
          <w:cantSplit/>
          <w:jc w:val="center"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E17BF4" w14:textId="77777777" w:rsidR="00F122F4" w:rsidRDefault="00B75EFA">
            <w:pPr>
              <w:spacing w:after="0"/>
            </w:pPr>
            <w:r>
              <w:rPr>
                <w:sz w:val="19"/>
              </w:rPr>
              <w:t>Seat time and additional orders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D0C70" w14:textId="77777777" w:rsidR="00F122F4" w:rsidRDefault="00B75EFA">
            <w:pPr>
              <w:spacing w:after="0"/>
            </w:pPr>
            <w:r>
              <w:rPr>
                <w:sz w:val="19"/>
              </w:rPr>
              <w:t>Can longer social visits support revenue per seat?</w:t>
            </w:r>
          </w:p>
        </w:tc>
      </w:tr>
    </w:tbl>
    <w:p w14:paraId="51A66479" w14:textId="77777777" w:rsidR="00F122F4" w:rsidRDefault="00F122F4">
      <w:pPr>
        <w:spacing w:after="0"/>
      </w:pPr>
    </w:p>
    <w:p w14:paraId="77694FB8" w14:textId="77777777" w:rsidR="00F122F4" w:rsidRDefault="00B75EFA">
      <w:r>
        <w:t>Comparable concepts confirm competition, not an available profit pool. Add halal compliance and supplier costs only after quotations. Team B needs paid transactions and repeat behaviour before using a sales forecast.</w:t>
      </w:r>
    </w:p>
    <w:p w14:paraId="1E244DEA" w14:textId="77777777" w:rsidR="00F122F4" w:rsidRDefault="00B75EFA">
      <w:r>
        <w:rPr>
          <w:sz w:val="17"/>
        </w:rPr>
        <w:t xml:space="preserve">Sources: Tiago, Extended Data, pp </w:t>
      </w:r>
      <w:r>
        <w:rPr>
          <w:sz w:val="17"/>
        </w:rPr>
        <w:t>6–8 and 10, for the trial proposal; financial interpretation by the CORSA team.</w:t>
      </w:r>
    </w:p>
    <w:p w14:paraId="71CDDE73" w14:textId="77777777" w:rsidR="00F122F4" w:rsidRDefault="00B75EFA">
      <w:pPr>
        <w:spacing w:after="120" w:line="240" w:lineRule="auto"/>
      </w:pPr>
      <w:r>
        <w:rPr>
          <w:b/>
          <w:sz w:val="16"/>
        </w:rPr>
        <w:t xml:space="preserve">Sources  </w:t>
      </w:r>
      <w:hyperlink r:id="rId16">
        <w:r>
          <w:rPr>
            <w:color w:val="C61410"/>
            <w:sz w:val="16"/>
          </w:rPr>
          <w:t>BORDER café visit study</w:t>
        </w:r>
      </w:hyperlink>
      <w:r>
        <w:rPr>
          <w:sz w:val="16"/>
        </w:rPr>
        <w:t xml:space="preserve">  •  </w:t>
      </w:r>
      <w:hyperlink r:id="rId17">
        <w:r>
          <w:rPr>
            <w:color w:val="C61410"/>
            <w:sz w:val="16"/>
          </w:rPr>
          <w:t>USDA halal costs and process context</w:t>
        </w:r>
      </w:hyperlink>
    </w:p>
    <w:sectPr w:rsidR="00F122F4" w:rsidSect="00034616">
      <w:headerReference w:type="default" r:id="rId18"/>
      <w:footerReference w:type="default" r:id="rId19"/>
      <w:pgSz w:w="11909" w:h="16834"/>
      <w:pgMar w:top="979" w:right="792" w:bottom="792" w:left="792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144A9" w14:textId="77777777" w:rsidR="00B75EFA" w:rsidRDefault="00B75EFA">
      <w:pPr>
        <w:spacing w:after="0" w:line="240" w:lineRule="auto"/>
      </w:pPr>
      <w:r>
        <w:separator/>
      </w:r>
    </w:p>
  </w:endnote>
  <w:endnote w:type="continuationSeparator" w:id="0">
    <w:p w14:paraId="72525AA3" w14:textId="77777777" w:rsidR="00B75EFA" w:rsidRDefault="00B7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83BF4" w14:textId="49954889" w:rsidR="00F122F4" w:rsidRPr="00B75EFA" w:rsidRDefault="00B75EFA">
    <w:pPr>
      <w:pStyle w:val="Footer"/>
      <w:rPr>
        <w:lang w:val="it-CH"/>
      </w:rPr>
    </w:pPr>
    <w:r w:rsidRPr="00B75EFA">
      <w:rPr>
        <w:sz w:val="16"/>
        <w:lang w:val="it-CH"/>
      </w:rPr>
      <w:t xml:space="preserve">CORSA x HSG Capstone  |  Economic  |  Matthieu  |  </w:t>
    </w:r>
    <w:r>
      <w:fldChar w:fldCharType="begin"/>
    </w:r>
    <w:r w:rsidRPr="00B75EFA">
      <w:rPr>
        <w:lang w:val="it-CH"/>
      </w:rPr>
      <w:instrText>PAGE</w:instrText>
    </w:r>
    <w:r>
      <w:fldChar w:fldCharType="separate"/>
    </w:r>
    <w:r w:rsidRPr="00B75EFA">
      <w:rPr>
        <w:noProof/>
        <w:lang w:val="it-CH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8CCCF" w14:textId="77777777" w:rsidR="00B75EFA" w:rsidRDefault="00B75EFA">
      <w:pPr>
        <w:spacing w:after="0" w:line="240" w:lineRule="auto"/>
      </w:pPr>
      <w:r>
        <w:separator/>
      </w:r>
    </w:p>
  </w:footnote>
  <w:footnote w:type="continuationSeparator" w:id="0">
    <w:p w14:paraId="62EC8AB5" w14:textId="77777777" w:rsidR="00B75EFA" w:rsidRDefault="00B7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FA963" w14:textId="77777777" w:rsidR="00F122F4" w:rsidRDefault="00B75EFA">
    <w:pPr>
      <w:pStyle w:val="Header"/>
      <w:pBdr>
        <w:top w:val="single" w:sz="12" w:space="3" w:color="C61410"/>
      </w:pBdr>
      <w:jc w:val="right"/>
    </w:pPr>
    <w:r>
      <w:rPr>
        <w:noProof/>
      </w:rPr>
      <w:drawing>
        <wp:inline distT="0" distB="0" distL="0" distR="0" wp14:anchorId="26059569" wp14:editId="3F41A932">
          <wp:extent cx="960120" cy="285441"/>
          <wp:effectExtent l="0" t="0" r="0" b="0"/>
          <wp:docPr id="633341852" name="Picture 633341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on_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2854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671958">
    <w:abstractNumId w:val="8"/>
  </w:num>
  <w:num w:numId="2" w16cid:durableId="1886748301">
    <w:abstractNumId w:val="6"/>
  </w:num>
  <w:num w:numId="3" w16cid:durableId="1922644712">
    <w:abstractNumId w:val="5"/>
  </w:num>
  <w:num w:numId="4" w16cid:durableId="1471436900">
    <w:abstractNumId w:val="4"/>
  </w:num>
  <w:num w:numId="5" w16cid:durableId="1304315065">
    <w:abstractNumId w:val="7"/>
  </w:num>
  <w:num w:numId="6" w16cid:durableId="1854997747">
    <w:abstractNumId w:val="3"/>
  </w:num>
  <w:num w:numId="7" w16cid:durableId="137235436">
    <w:abstractNumId w:val="2"/>
  </w:num>
  <w:num w:numId="8" w16cid:durableId="1366128746">
    <w:abstractNumId w:val="1"/>
  </w:num>
  <w:num w:numId="9" w16cid:durableId="1198856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0F1D"/>
    <w:rsid w:val="00AA1D8D"/>
    <w:rsid w:val="00B47730"/>
    <w:rsid w:val="00B75EFA"/>
    <w:rsid w:val="00CB0664"/>
    <w:rsid w:val="00F122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28DA"/>
  <w14:defaultImageDpi w14:val="300"/>
  <w15:docId w15:val="{3AA63B1A-B1EE-3C49-B418-CAB6DA444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journal.ipb.ac.id/jcfcs/article/view/56121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repository.ipb.ac.id/handle/123456789/158947" TargetMode="External"/><Relationship Id="rId17" Type="http://schemas.openxmlformats.org/officeDocument/2006/relationships/hyperlink" Target="https://apps.fas.usda.gov/newgainapi/api/Report/DownloadReportByFileName?fileName=Indonesia%27s+Expanding+Halal+Standards+with+Trade+Impacts+on+the+Horizon_Jakarta_Indonesia_ID2025-003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order.upnjatim.ac.id/index.php/border/article/download/782/86/1106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pository.unsoed.ac.id/4291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insight.jakpat.net/consumer-insights-local-food-beverage-market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nielseniq.com/global/en/news-center/2025/niq-indonesian-consumers-reassess-health-priorities-seek-greater-transparency-support-and-smart-solutions/" TargetMode="Externa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549</Words>
  <Characters>3204</Characters>
  <Application>Microsoft Office Word</Application>
  <DocSecurity>0</DocSecurity>
  <Lines>49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CORSA Jakarta Economic visual brief</dc:title>
  <dc:subject/>
  <dc:creator>Matthieu</dc:creator>
  <cp:keywords/>
  <dc:description>generated by python-docx</dc:description>
  <cp:lastModifiedBy>Normand, Matthieu</cp:lastModifiedBy>
  <cp:revision>2</cp:revision>
  <dcterms:created xsi:type="dcterms:W3CDTF">2026-10-15T20:07:00Z</dcterms:created>
  <dcterms:modified xsi:type="dcterms:W3CDTF">2026-10-15T20:07:00Z</dcterms:modified>
  <cp:category/>
</cp:coreProperties>
</file>