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Dictionnaire des données – jeu synthétique PrediCare TPA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Document de référence · Jeu de données synthétique pour la détection de fraudes à l'assurance santé</w:t>
      </w:r>
    </w:p>
    <w:p w:rsidR="00000000" w:rsidDel="00000000" w:rsidP="00000000" w:rsidRDefault="00000000" w:rsidRPr="00000000" w14:paraId="00000003">
      <w:pPr>
        <w:pStyle w:val="Heading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1. Présentation et conventions générales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L'ensemble des données décrites dans ce document est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synthétique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Il ne contient aucun assuré, prestataire, numéro de téléphone ou adresse réels.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Convention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Valeur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Nature des données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Synthétiques (aucune donnée réelle)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Devise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Ariary (MGA), montants entiers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Format des dates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AAAA-MM-JJ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Encodage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UTF-8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Séparateur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Virgule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2. Référentiels</w: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Les référentiels fournissent les tarifs, les produits et les règles de garantie de référence.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Fichier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referentiel_actes.csv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Code acte, libellé, catégorie, spécialité, tarifs minimum / référence / maximum, ordonnance requise, entente préalable, restrictions de sexe et d'âge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referentiel_medicaments.csv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Code, libellé, prix de référence,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remboursable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(0 = fortifiant, cosmétique, complément), classe, traitement chronique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garanties.csv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Par formule (ESSENTIEL, CONFORT, PREMIUM) et par catégorie : taux, plafond annuel, franchise, carence, actes exclus, pièces justificatives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3. Données métier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Fichier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Clé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Colonnes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prestataires.csv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prestataire_id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Nom fictif, type, spécialité, ville, quartier, horaires,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jours_ouverture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(1 = lundi … 7 = dimanche), niveau de tarif, note qualité, dates de convention, statut (ACTIF / RADIE)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grille_tarifaire.csv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prestataire_id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code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Tarif pratiqué par le prestataire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contrats.csv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contrat_id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Police, souscripteur, formule, dates d'effet et de fin, statut, nombre de bénéficiaires, prime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assures.csv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assure_id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(pseudonyme)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Contrat, rang (ASSURE_PRINCIPAL / CONJOINT / ENFANT), sexe,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année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de naissance, ville, adhésion, radiation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identites_pii.csv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assure_id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Données personnelles à chiffrer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: nom,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prénom, date de naissance, téléphone, e-mail, adresse, n° CIN fictif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ordonnances.csv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/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ordonnance_lignes.csv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ordonnance_id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Prescripteur, date, validité (10 jours ; 30 jours pour l'optique), type, diagnostic. Les lignes contiennent le code, la quantité et la posologie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factures.csv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facture_id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Prestataire, assuré, contrat, ordonnance, type, dates (soin, facture, réception, traitement), canal, mode de règlement, attestation (APC), entente préalable, montants, statut, motif de rejet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lignes_facture.csv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ligne_id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Code, type de ligne (ACTE / MEDICAMENT), quantité, prix unitaire, montant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4. Statut historique des factures</w:t>
      </w:r>
    </w:p>
    <w:p w:rsidR="00000000" w:rsidDel="00000000" w:rsidP="00000000" w:rsidRDefault="00000000" w:rsidRPr="00000000" w14:paraId="00000038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La colonne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shd w:fill="f5f5f5" w:val="clear"/>
          <w:rtl w:val="0"/>
        </w:rPr>
        <w:t xml:space="preserve">statut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du fichier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shd w:fill="f5f5f5" w:val="clear"/>
          <w:rtl w:val="0"/>
        </w:rPr>
        <w:t xml:space="preserve">factures.csv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prend les valeurs suivantes :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Statut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Signification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PAYEE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Facture réglée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REJETEE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Facture rejetée, avec un motif de rejet (voir ci-dessous)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EN_COURS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Facture reçue dans les 12 derniers jours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Motifs de rejet possibles 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PIECE_MANQUANTE_ATTESTATION, ENTENTE_PREALABLE_ABSENTE, HORS_PERIODE_COUVERTURE, DELAI_DE_CARENCE, ORDONNANCE_PERIMEE, PRODUIT_NON_REMBOURSABLE, PLAFOND_ATTEINT, CONTROLE_MEDICAL, FACTURE_INVALIDE.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Attention – fuite de données :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 les colonnes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0"/>
          <w:szCs w:val="20"/>
          <w:u w:val="none"/>
          <w:shd w:fill="f5f5f5" w:val="clear"/>
          <w:vertAlign w:val="baseline"/>
          <w:rtl w:val="0"/>
        </w:rPr>
        <w:t xml:space="preserve">statut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0"/>
          <w:szCs w:val="20"/>
          <w:u w:val="none"/>
          <w:shd w:fill="f5f5f5" w:val="clear"/>
          <w:vertAlign w:val="baseline"/>
          <w:rtl w:val="0"/>
        </w:rPr>
        <w:t xml:space="preserve">motif_rejet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0"/>
          <w:szCs w:val="20"/>
          <w:u w:val="none"/>
          <w:shd w:fill="f5f5f5" w:val="clear"/>
          <w:vertAlign w:val="baseline"/>
          <w:rtl w:val="0"/>
        </w:rPr>
        <w:t xml:space="preserve">montant_pris_en_charge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 et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0"/>
          <w:szCs w:val="20"/>
          <w:u w:val="none"/>
          <w:shd w:fill="f5f5f5" w:val="clear"/>
          <w:vertAlign w:val="baseline"/>
          <w:rtl w:val="0"/>
        </w:rPr>
        <w:t xml:space="preserve">date_traitement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mallCaps w:val="0"/>
          <w:strike w:val="0"/>
          <w:color w:val="404040"/>
          <w:sz w:val="22"/>
          <w:szCs w:val="22"/>
          <w:u w:val="none"/>
          <w:vertAlign w:val="baseline"/>
          <w:rtl w:val="0"/>
        </w:rPr>
        <w:t xml:space="preserve"> résultent de la décision historique et sont partiellement corrélées à la fraude. Elles ne doivent pas être utilisées comme variables du modèle de détection.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5. Labels</w:t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Les labels sont fournis dans des fichiers séparés, dans le dossier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shd w:fill="f5f5f5" w:val="clear"/>
          <w:rtl w:val="0"/>
        </w:rPr>
        <w:t xml:space="preserve">labels/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Fichier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Colonnes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labels_fraude.csv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facture_id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est_fraude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(0/1),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type_fraude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detail_fraude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est_valide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(0/1),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motif_invalidite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labels_prestataires.csv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prestataire_id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est_suspect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(prestataires à forte propension de fraude)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6. Types de fraude injectés</w:t>
      </w:r>
    </w:p>
    <w:p w:rsidR="00000000" w:rsidDel="00000000" w:rsidP="00000000" w:rsidRDefault="00000000" w:rsidRPr="00000000" w14:paraId="0000004C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 tableau suivant décrit le mécanisme de chaque fraude injectée dans le jeu de données et le signal permettant de la détecter.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Type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Mécanisme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Signal exploitable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SURFACTURATION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Prix supérieur au tarif maximum (parfois discret)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Prix comparé à la grille et au référentiel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QUANTITE_EXCESSIVE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Quantité multipliée par 3 à 8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Quantité facturée comparée à l'ordonnance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UPCODING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Consultation simple facturée en spécialité, avec majoration ou en urgence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Type de prestataire, heure, jour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LIGNES_NON_PRESCRITES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Codes absents de l'ordonnance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Jointure facture ↔ ordonnance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SUBSTITUTION_PRODUIT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Médicament coûteux non prescrit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Jointure et prix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ORDONNANCE_EXPIREE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Soin réalisé après la validité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date_soin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−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date_prescription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SOINS_JOUR_FERME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Soin un jour de fermeture du prestataire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jours_ouverture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DOUBLON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Même facture renvoyée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(assuré, prestataire, montant, date)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FRACTIONNEMENT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Une facture découpée en 2 à 4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Plusieurs factures le même jour pour le même prestataire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SURCONSOMMATION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Même ordonnance présentée dans plusieurs pharmacies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Réutilisation d'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ordonnance_id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ACTE_FICTIF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Sans ordonnance, ou ordonnance d'un autre assuré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Ordonnance manquante ou incohérente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INCOHERENCE_PROFIL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Acte incompatible avec l'âge ou le sexe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sexe_requis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age_min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age_max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PRESTATAIRE_RADIE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Facturation après la fin de convention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shd w:fill="f5f5f5" w:val="clear"/>
                <w:rtl w:val="0"/>
              </w:rPr>
              <w:t xml:space="preserve">date_fin_convention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HORS_COUVERTURE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Soin avant l'adhésion, après la radiation ou pendant la carence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Dates du contrat et du bénéficiaire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7. Corpus RAG</w:t>
      </w:r>
    </w:p>
    <w:p w:rsidR="00000000" w:rsidDel="00000000" w:rsidP="00000000" w:rsidRDefault="00000000" w:rsidRPr="00000000" w14:paraId="0000007B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Le dossier 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shd w:fill="f5f5f5" w:val="clear"/>
          <w:rtl w:val="0"/>
        </w:rPr>
        <w:t xml:space="preserve">rag_corpus/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regroupe les documents destinés à la recherche documentaire 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générales par formule 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 particulières (bénéficiaires pseudonymisés) 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 du réseau de soins (Antananarivo et national, coordonnées fictives) 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FAQ assurés 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barème de référence des actes.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