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多场景智慧运营</w:t>
        <w:br/>
        <w:t>通用解决方案商业计划书</w:t>
      </w:r>
    </w:p>
    <w:p>
      <w:pPr>
        <w:pStyle w:val="Subtitle"/>
        <w:jc w:val="center"/>
      </w:pPr>
      <w:r>
        <w:t>景区  校园  社区</w:t>
      </w:r>
    </w:p>
    <w:p/>
    <w:p/>
    <w:p/>
    <w:p>
      <w:pPr>
        <w:ind w:firstLine="420"/>
      </w:pPr>
      <w:r>
        <w:t>项目以统一的空间展示、服务入口、工单协同和运营数据能力，支持景区、校园与社区的数字化运营。以青岚山境作为工程验证场景，逐步将已验证能力产品化，再通过场景配置与行业模块适配不同客户。</w:t>
      </w:r>
    </w:p>
    <w:p/>
    <w:p/>
    <w:p>
      <w:pPr>
        <w:pStyle w:val="Subtitle"/>
        <w:jc w:val="center"/>
      </w:pPr>
      <w:r>
        <w:t>项目团队编制</w:t>
        <w:br/>
        <w:t>2026年9月</w:t>
      </w:r>
    </w:p>
    <w:p>
      <w:r>
        <w:br w:type="page"/>
      </w:r>
    </w:p>
    <w:p>
      <w:pPr>
        <w:pStyle w:val="Heading1"/>
      </w:pPr>
      <w:r>
        <w:t>目录</w:t>
      </w:r>
    </w:p>
    <w:p>
      <w:pPr>
        <w:tabs>
          <w:tab w:pos="8901" w:val="right"/>
        </w:tabs>
      </w:pPr>
      <w:r>
        <w:t>摘要</w:t>
      </w:r>
      <w:r>
        <w:tab/>
        <w:t>4</w:t>
      </w:r>
    </w:p>
    <w:p>
      <w:pPr>
        <w:tabs>
          <w:tab w:pos="8901" w:val="right"/>
        </w:tabs>
        <w:spacing w:after="80"/>
      </w:pPr>
      <w:r>
        <w:rPr>
          <w:b/>
        </w:rPr>
        <w:t>第一章 执行摘要</w:t>
      </w:r>
      <w:r>
        <w:tab/>
        <w:t>5</w:t>
      </w:r>
    </w:p>
    <w:p>
      <w:pPr>
        <w:tabs>
          <w:tab w:pos="8901" w:val="right"/>
        </w:tabs>
        <w:spacing w:after="40" w:line="252" w:lineRule="auto"/>
        <w:ind w:left="283"/>
      </w:pPr>
      <w:r>
        <w:rPr>
          <w:sz w:val="20"/>
        </w:rPr>
        <w:t>1.1 痛点与机遇</w:t>
      </w:r>
      <w:r>
        <w:tab/>
        <w:t>5</w:t>
      </w:r>
    </w:p>
    <w:p>
      <w:pPr>
        <w:tabs>
          <w:tab w:pos="8901" w:val="right"/>
        </w:tabs>
        <w:spacing w:after="40" w:line="252" w:lineRule="auto"/>
        <w:ind w:left="283"/>
      </w:pPr>
      <w:r>
        <w:rPr>
          <w:sz w:val="20"/>
        </w:rPr>
        <w:t>1.2 解决方案与产品定位</w:t>
      </w:r>
      <w:r>
        <w:tab/>
        <w:t>5</w:t>
      </w:r>
    </w:p>
    <w:p>
      <w:pPr>
        <w:tabs>
          <w:tab w:pos="8901" w:val="right"/>
        </w:tabs>
        <w:spacing w:after="40" w:line="252" w:lineRule="auto"/>
        <w:ind w:left="283"/>
      </w:pPr>
      <w:r>
        <w:rPr>
          <w:sz w:val="20"/>
        </w:rPr>
        <w:t>1.3 当前阶段与核心指标</w:t>
      </w:r>
      <w:r>
        <w:tab/>
        <w:t>5</w:t>
      </w:r>
    </w:p>
    <w:p>
      <w:pPr>
        <w:tabs>
          <w:tab w:pos="8901" w:val="right"/>
        </w:tabs>
        <w:spacing w:after="40" w:line="252" w:lineRule="auto"/>
        <w:ind w:left="283"/>
      </w:pPr>
      <w:r>
        <w:rPr>
          <w:sz w:val="20"/>
        </w:rPr>
        <w:t>1.4 商业价值与社会效益</w:t>
      </w:r>
      <w:r>
        <w:tab/>
        <w:t>5</w:t>
      </w:r>
    </w:p>
    <w:p>
      <w:pPr>
        <w:tabs>
          <w:tab w:pos="8901" w:val="right"/>
        </w:tabs>
        <w:spacing w:after="80"/>
      </w:pPr>
      <w:r>
        <w:rPr>
          <w:b/>
        </w:rPr>
        <w:t>第二章 市场痛点与政策机遇</w:t>
      </w:r>
      <w:r>
        <w:tab/>
        <w:t>6</w:t>
      </w:r>
    </w:p>
    <w:p>
      <w:pPr>
        <w:tabs>
          <w:tab w:pos="8901" w:val="right"/>
        </w:tabs>
        <w:spacing w:after="40" w:line="252" w:lineRule="auto"/>
        <w:ind w:left="283"/>
      </w:pPr>
      <w:r>
        <w:rPr>
          <w:sz w:val="20"/>
        </w:rPr>
        <w:t>2.1 多场景运营的共同痛点</w:t>
      </w:r>
      <w:r>
        <w:tab/>
        <w:t>6</w:t>
      </w:r>
    </w:p>
    <w:p>
      <w:pPr>
        <w:tabs>
          <w:tab w:pos="8901" w:val="right"/>
        </w:tabs>
        <w:spacing w:after="40" w:line="252" w:lineRule="auto"/>
        <w:ind w:left="283"/>
      </w:pPr>
      <w:r>
        <w:rPr>
          <w:sz w:val="20"/>
        </w:rPr>
        <w:t>2.2 政策方向与采购机会</w:t>
      </w:r>
      <w:r>
        <w:tab/>
        <w:t>6</w:t>
      </w:r>
    </w:p>
    <w:p>
      <w:pPr>
        <w:tabs>
          <w:tab w:pos="8901" w:val="right"/>
        </w:tabs>
        <w:spacing w:after="40" w:line="252" w:lineRule="auto"/>
        <w:ind w:left="283"/>
      </w:pPr>
      <w:r>
        <w:rPr>
          <w:sz w:val="20"/>
        </w:rPr>
        <w:t>2.3 市场需求量化与验证方法</w:t>
      </w:r>
      <w:r>
        <w:tab/>
        <w:t>6</w:t>
      </w:r>
    </w:p>
    <w:p>
      <w:pPr>
        <w:tabs>
          <w:tab w:pos="8901" w:val="right"/>
        </w:tabs>
        <w:spacing w:after="40" w:line="252" w:lineRule="auto"/>
        <w:ind w:left="283"/>
      </w:pPr>
      <w:r>
        <w:rPr>
          <w:sz w:val="20"/>
        </w:rPr>
        <w:t>2.4 市场空白与项目切入机会</w:t>
      </w:r>
      <w:r>
        <w:tab/>
        <w:t>6</w:t>
      </w:r>
    </w:p>
    <w:p>
      <w:pPr>
        <w:tabs>
          <w:tab w:pos="8901" w:val="right"/>
        </w:tabs>
        <w:spacing w:after="80"/>
      </w:pPr>
      <w:r>
        <w:rPr>
          <w:b/>
        </w:rPr>
        <w:t>第三章 产品定位与系统架构</w:t>
      </w:r>
      <w:r>
        <w:tab/>
        <w:t>7</w:t>
      </w:r>
    </w:p>
    <w:p>
      <w:pPr>
        <w:tabs>
          <w:tab w:pos="8901" w:val="right"/>
        </w:tabs>
        <w:spacing w:after="40" w:line="252" w:lineRule="auto"/>
        <w:ind w:left="283"/>
      </w:pPr>
      <w:r>
        <w:rPr>
          <w:sz w:val="20"/>
        </w:rPr>
        <w:t>3.1 通用底座与行业场景包</w:t>
      </w:r>
      <w:r>
        <w:tab/>
        <w:t>7</w:t>
      </w:r>
    </w:p>
    <w:p>
      <w:pPr>
        <w:tabs>
          <w:tab w:pos="8901" w:val="right"/>
        </w:tabs>
        <w:spacing w:after="40" w:line="252" w:lineRule="auto"/>
        <w:ind w:left="283"/>
      </w:pPr>
      <w:r>
        <w:rPr>
          <w:sz w:val="20"/>
        </w:rPr>
        <w:t>3.2 端云协同系统架构</w:t>
      </w:r>
      <w:r>
        <w:tab/>
        <w:t>7</w:t>
      </w:r>
    </w:p>
    <w:p>
      <w:pPr>
        <w:tabs>
          <w:tab w:pos="8901" w:val="right"/>
        </w:tabs>
        <w:spacing w:after="40" w:line="252" w:lineRule="auto"/>
        <w:ind w:left="283"/>
      </w:pPr>
      <w:r>
        <w:rPr>
          <w:sz w:val="20"/>
        </w:rPr>
        <w:t>3.3 核心功能模块</w:t>
      </w:r>
      <w:r>
        <w:tab/>
        <w:t>7</w:t>
      </w:r>
    </w:p>
    <w:p>
      <w:pPr>
        <w:tabs>
          <w:tab w:pos="8901" w:val="right"/>
        </w:tabs>
        <w:spacing w:after="40" w:line="252" w:lineRule="auto"/>
        <w:ind w:left="283"/>
      </w:pPr>
      <w:r>
        <w:rPr>
          <w:sz w:val="20"/>
        </w:rPr>
        <w:t>3.4 兼容性与部署优势</w:t>
      </w:r>
      <w:r>
        <w:tab/>
        <w:t>7</w:t>
      </w:r>
    </w:p>
    <w:p>
      <w:pPr>
        <w:tabs>
          <w:tab w:pos="8901" w:val="right"/>
        </w:tabs>
        <w:spacing w:after="80"/>
      </w:pPr>
      <w:r>
        <w:rPr>
          <w:b/>
        </w:rPr>
        <w:t>第四章 核心技术与数据验证路径</w:t>
      </w:r>
      <w:r>
        <w:tab/>
        <w:t>8</w:t>
      </w:r>
    </w:p>
    <w:p>
      <w:pPr>
        <w:tabs>
          <w:tab w:pos="8901" w:val="right"/>
        </w:tabs>
        <w:spacing w:after="40" w:line="252" w:lineRule="auto"/>
        <w:ind w:left="283"/>
      </w:pPr>
      <w:r>
        <w:rPr>
          <w:sz w:val="20"/>
        </w:rPr>
        <w:t>4.1 技术路线与产品化重点</w:t>
      </w:r>
      <w:r>
        <w:tab/>
        <w:t>8</w:t>
      </w:r>
    </w:p>
    <w:p>
      <w:pPr>
        <w:tabs>
          <w:tab w:pos="8901" w:val="right"/>
        </w:tabs>
        <w:spacing w:after="40" w:line="252" w:lineRule="auto"/>
        <w:ind w:left="283"/>
      </w:pPr>
      <w:r>
        <w:rPr>
          <w:sz w:val="20"/>
        </w:rPr>
        <w:t>4.2 数据来源与基线验证</w:t>
      </w:r>
      <w:r>
        <w:tab/>
        <w:t>8</w:t>
      </w:r>
    </w:p>
    <w:p>
      <w:pPr>
        <w:tabs>
          <w:tab w:pos="8901" w:val="right"/>
        </w:tabs>
        <w:spacing w:after="40" w:line="252" w:lineRule="auto"/>
        <w:ind w:left="283"/>
      </w:pPr>
      <w:r>
        <w:rPr>
          <w:sz w:val="20"/>
        </w:rPr>
        <w:t>4.3 多端一致性与弱网处理</w:t>
      </w:r>
      <w:r>
        <w:tab/>
        <w:t>8</w:t>
      </w:r>
    </w:p>
    <w:p>
      <w:pPr>
        <w:tabs>
          <w:tab w:pos="8901" w:val="right"/>
        </w:tabs>
        <w:spacing w:after="40" w:line="252" w:lineRule="auto"/>
        <w:ind w:left="283"/>
      </w:pPr>
      <w:r>
        <w:rPr>
          <w:sz w:val="20"/>
        </w:rPr>
        <w:t>4.4 真实场景验证计划</w:t>
      </w:r>
      <w:r>
        <w:tab/>
        <w:t>8</w:t>
      </w:r>
    </w:p>
    <w:p>
      <w:pPr>
        <w:tabs>
          <w:tab w:pos="8901" w:val="right"/>
        </w:tabs>
        <w:spacing w:after="80"/>
      </w:pPr>
      <w:r>
        <w:rPr>
          <w:b/>
        </w:rPr>
        <w:t>第五章 商业模式与市场落地策略</w:t>
      </w:r>
      <w:r>
        <w:tab/>
        <w:t>9</w:t>
      </w:r>
    </w:p>
    <w:p>
      <w:pPr>
        <w:tabs>
          <w:tab w:pos="8901" w:val="right"/>
        </w:tabs>
        <w:spacing w:after="40" w:line="252" w:lineRule="auto"/>
        <w:ind w:left="283"/>
      </w:pPr>
      <w:r>
        <w:rPr>
          <w:sz w:val="20"/>
        </w:rPr>
        <w:t>5.1 单项目经济模型与定价</w:t>
      </w:r>
      <w:r>
        <w:tab/>
        <w:t>9</w:t>
      </w:r>
    </w:p>
    <w:p>
      <w:pPr>
        <w:tabs>
          <w:tab w:pos="8901" w:val="right"/>
        </w:tabs>
        <w:spacing w:after="40" w:line="252" w:lineRule="auto"/>
        <w:ind w:left="283"/>
      </w:pPr>
      <w:r>
        <w:rPr>
          <w:sz w:val="20"/>
        </w:rPr>
        <w:t>5.2 试点直销与渠道合作</w:t>
      </w:r>
      <w:r>
        <w:tab/>
        <w:t>9</w:t>
      </w:r>
    </w:p>
    <w:p>
      <w:pPr>
        <w:tabs>
          <w:tab w:pos="8901" w:val="right"/>
        </w:tabs>
        <w:spacing w:after="40" w:line="252" w:lineRule="auto"/>
        <w:ind w:left="283"/>
      </w:pPr>
      <w:r>
        <w:rPr>
          <w:sz w:val="20"/>
        </w:rPr>
        <w:t>5.3 目标客户与付费主体</w:t>
      </w:r>
      <w:r>
        <w:tab/>
        <w:t>10</w:t>
      </w:r>
    </w:p>
    <w:p>
      <w:pPr>
        <w:tabs>
          <w:tab w:pos="8901" w:val="right"/>
        </w:tabs>
        <w:spacing w:after="40" w:line="252" w:lineRule="auto"/>
        <w:ind w:left="283"/>
      </w:pPr>
      <w:r>
        <w:rPr>
          <w:sz w:val="20"/>
        </w:rPr>
        <w:t>5.4 推广策略与转化路径</w:t>
      </w:r>
      <w:r>
        <w:tab/>
        <w:t>10</w:t>
      </w:r>
    </w:p>
    <w:p>
      <w:r>
        <w:br w:type="page"/>
      </w:r>
    </w:p>
    <w:p>
      <w:pPr>
        <w:pStyle w:val="Heading1"/>
      </w:pPr>
      <w:r>
        <w:t>目录续</w:t>
      </w:r>
    </w:p>
    <w:p>
      <w:pPr>
        <w:tabs>
          <w:tab w:pos="8901" w:val="right"/>
        </w:tabs>
        <w:spacing w:after="80"/>
      </w:pPr>
      <w:r>
        <w:rPr>
          <w:b/>
        </w:rPr>
        <w:t>第六章 财务规划与资金用途</w:t>
      </w:r>
      <w:r>
        <w:tab/>
        <w:t>11</w:t>
      </w:r>
    </w:p>
    <w:p>
      <w:pPr>
        <w:tabs>
          <w:tab w:pos="8901" w:val="right"/>
        </w:tabs>
        <w:spacing w:after="40" w:line="252" w:lineRule="auto"/>
        <w:ind w:left="283"/>
      </w:pPr>
      <w:r>
        <w:rPr>
          <w:sz w:val="20"/>
        </w:rPr>
        <w:t>6.1 三年收入预测</w:t>
      </w:r>
      <w:r>
        <w:tab/>
        <w:t>11</w:t>
      </w:r>
    </w:p>
    <w:p>
      <w:pPr>
        <w:tabs>
          <w:tab w:pos="8901" w:val="right"/>
        </w:tabs>
        <w:spacing w:after="40" w:line="252" w:lineRule="auto"/>
        <w:ind w:left="283"/>
      </w:pPr>
      <w:r>
        <w:rPr>
          <w:sz w:val="20"/>
        </w:rPr>
        <w:t>6.2 成本结构分析</w:t>
      </w:r>
      <w:r>
        <w:tab/>
        <w:t>11</w:t>
      </w:r>
    </w:p>
    <w:p>
      <w:pPr>
        <w:tabs>
          <w:tab w:pos="8901" w:val="right"/>
        </w:tabs>
        <w:spacing w:after="40" w:line="252" w:lineRule="auto"/>
        <w:ind w:left="283"/>
      </w:pPr>
      <w:r>
        <w:rPr>
          <w:sz w:val="20"/>
        </w:rPr>
        <w:t>6.3 盈亏平衡与资金分配</w:t>
      </w:r>
      <w:r>
        <w:tab/>
        <w:t>12</w:t>
      </w:r>
    </w:p>
    <w:p>
      <w:pPr>
        <w:tabs>
          <w:tab w:pos="8901" w:val="right"/>
        </w:tabs>
        <w:spacing w:after="80"/>
      </w:pPr>
      <w:r>
        <w:rPr>
          <w:b/>
        </w:rPr>
        <w:t>第七章 团队构成与敏捷执行机制</w:t>
      </w:r>
      <w:r>
        <w:tab/>
        <w:t>13</w:t>
      </w:r>
    </w:p>
    <w:p>
      <w:pPr>
        <w:tabs>
          <w:tab w:pos="8901" w:val="right"/>
        </w:tabs>
        <w:spacing w:after="40" w:line="252" w:lineRule="auto"/>
        <w:ind w:left="283"/>
      </w:pPr>
      <w:r>
        <w:rPr>
          <w:sz w:val="20"/>
        </w:rPr>
        <w:t>7.1 团队分工与能力互补</w:t>
      </w:r>
      <w:r>
        <w:tab/>
        <w:t>13</w:t>
      </w:r>
    </w:p>
    <w:p>
      <w:pPr>
        <w:tabs>
          <w:tab w:pos="8901" w:val="right"/>
        </w:tabs>
        <w:spacing w:after="40" w:line="252" w:lineRule="auto"/>
        <w:ind w:left="283"/>
      </w:pPr>
      <w:r>
        <w:rPr>
          <w:sz w:val="20"/>
        </w:rPr>
        <w:t>7.2 资源支持与能力保障</w:t>
      </w:r>
      <w:r>
        <w:tab/>
        <w:t>13</w:t>
      </w:r>
    </w:p>
    <w:p>
      <w:pPr>
        <w:tabs>
          <w:tab w:pos="8901" w:val="right"/>
        </w:tabs>
        <w:spacing w:after="40" w:line="252" w:lineRule="auto"/>
        <w:ind w:left="283"/>
      </w:pPr>
      <w:r>
        <w:rPr>
          <w:sz w:val="20"/>
        </w:rPr>
        <w:t>7.3 敏捷执行与迭代机制</w:t>
      </w:r>
      <w:r>
        <w:tab/>
        <w:t>13</w:t>
      </w:r>
    </w:p>
    <w:p>
      <w:pPr>
        <w:tabs>
          <w:tab w:pos="8901" w:val="right"/>
        </w:tabs>
        <w:spacing w:after="80"/>
      </w:pPr>
      <w:r>
        <w:rPr>
          <w:b/>
        </w:rPr>
        <w:t>第八章 风险评估与应对策略</w:t>
      </w:r>
      <w:r>
        <w:tab/>
        <w:t>14</w:t>
      </w:r>
    </w:p>
    <w:p>
      <w:pPr>
        <w:tabs>
          <w:tab w:pos="8901" w:val="right"/>
        </w:tabs>
        <w:spacing w:after="40" w:line="252" w:lineRule="auto"/>
        <w:ind w:left="283"/>
      </w:pPr>
      <w:r>
        <w:rPr>
          <w:sz w:val="20"/>
        </w:rPr>
        <w:t>8.1 技术风险与交付风险</w:t>
      </w:r>
      <w:r>
        <w:tab/>
        <w:t>14</w:t>
      </w:r>
    </w:p>
    <w:p>
      <w:pPr>
        <w:tabs>
          <w:tab w:pos="8901" w:val="right"/>
        </w:tabs>
        <w:spacing w:after="40" w:line="252" w:lineRule="auto"/>
        <w:ind w:left="283"/>
      </w:pPr>
      <w:r>
        <w:rPr>
          <w:sz w:val="20"/>
        </w:rPr>
        <w:t>8.2 商业风险与知识产权风险</w:t>
      </w:r>
      <w:r>
        <w:tab/>
        <w:t>14</w:t>
      </w:r>
    </w:p>
    <w:p>
      <w:pPr>
        <w:tabs>
          <w:tab w:pos="8901" w:val="right"/>
        </w:tabs>
        <w:spacing w:after="40" w:line="252" w:lineRule="auto"/>
        <w:ind w:left="283"/>
      </w:pPr>
      <w:r>
        <w:rPr>
          <w:sz w:val="20"/>
        </w:rPr>
        <w:t>8.3 综合风险应对机制</w:t>
      </w:r>
      <w:r>
        <w:tab/>
        <w:t>14</w:t>
      </w:r>
    </w:p>
    <w:p>
      <w:pPr>
        <w:tabs>
          <w:tab w:pos="8901" w:val="right"/>
        </w:tabs>
        <w:spacing w:after="80"/>
      </w:pPr>
      <w:r>
        <w:rPr>
          <w:b/>
        </w:rPr>
        <w:t>第九章 发展规划与实施路线图</w:t>
      </w:r>
      <w:r>
        <w:tab/>
        <w:t>15</w:t>
      </w:r>
    </w:p>
    <w:p>
      <w:pPr>
        <w:tabs>
          <w:tab w:pos="8901" w:val="right"/>
        </w:tabs>
        <w:spacing w:after="40" w:line="252" w:lineRule="auto"/>
        <w:ind w:left="283"/>
      </w:pPr>
      <w:r>
        <w:rPr>
          <w:sz w:val="20"/>
        </w:rPr>
        <w:t>9.1 首年里程碑与验证指标</w:t>
      </w:r>
      <w:r>
        <w:tab/>
        <w:t>15</w:t>
      </w:r>
    </w:p>
    <w:p>
      <w:pPr>
        <w:tabs>
          <w:tab w:pos="8901" w:val="right"/>
        </w:tabs>
        <w:spacing w:after="40" w:line="252" w:lineRule="auto"/>
        <w:ind w:left="283"/>
      </w:pPr>
      <w:r>
        <w:rPr>
          <w:sz w:val="20"/>
        </w:rPr>
        <w:t>9.2 中长期技术产品与市场规划</w:t>
      </w:r>
      <w:r>
        <w:tab/>
        <w:t>15</w:t>
      </w:r>
    </w:p>
    <w:p>
      <w:pPr>
        <w:tabs>
          <w:tab w:pos="8901" w:val="right"/>
        </w:tabs>
      </w:pPr>
      <w:r>
        <w:t>附录一 客户需求调研问卷</w:t>
      </w:r>
      <w:r>
        <w:tab/>
        <w:t>16</w:t>
      </w:r>
    </w:p>
    <w:p>
      <w:pPr>
        <w:tabs>
          <w:tab w:pos="8901" w:val="right"/>
        </w:tabs>
      </w:pPr>
      <w:r>
        <w:t>附录二 资料依据与测算口径</w:t>
      </w:r>
      <w:r>
        <w:tab/>
        <w:t>17</w:t>
      </w:r>
    </w:p>
    <w:p>
      <w:r>
        <w:br w:type="page"/>
      </w:r>
    </w:p>
    <w:p>
      <w:pPr>
        <w:pStyle w:val="Heading1"/>
      </w:pPr>
      <w:r>
        <w:t>摘要</w:t>
      </w:r>
    </w:p>
    <w:p>
      <w:pPr>
        <w:ind w:firstLine="420"/>
      </w:pPr>
      <w:r>
        <w:t>本项目拟将景区、校园和社区运营中的共性需求沉淀为一套可复用的智慧运营解决方案。产品围绕空间可视化、公共信息发布、移动服务、设施管理、工单处置和管理审批建立统一能力，通过行业场景包适配游客、师生、居民及其管理者，让不同角色围绕同一件业务协同工作。</w:t>
      </w:r>
    </w:p>
    <w:p>
      <w:pPr>
        <w:ind w:firstLine="420"/>
      </w:pPr>
      <w:r>
        <w:t>现阶段，青岚山境智慧景区已形成六端、统一后端和数据库的工程实现，并有2026年9月24日的公网演示部署及跨端验证记录。云栖雅苑社区和知行校园已形成各自独立的五端前端原型，支持页面交互和场景展示。可复制前端模板为品牌、导航、指标和业务页面提供了复用基础；跨行业统一后端、生产数据接入与商业交付体系属于下一阶段建设任务。</w:t>
      </w:r>
    </w:p>
    <w:p>
      <w:pPr>
        <w:ind w:firstLine="420"/>
      </w:pPr>
      <w:r>
        <w:t>我们的商业路径是先取得一个边界清晰的付费试点，验证真实工单和管理协同，再完成第二场景复制。产品拟采用“标准软件服务费＋一次性实施费＋增购集成服务”的收费方式，由景区运营公司、学校或物业企业付费，面向其服务对象提供使用入口。销售重点是缩短信息传递和任务处理链路，并用试点前后的数据证明价值。</w:t>
      </w:r>
    </w:p>
    <w:p>
      <w:pPr>
        <w:ind w:firstLine="420"/>
      </w:pPr>
      <w:r>
        <w:t>项目拟以30万元作为首阶段资金需求参考，用于通用能力建设、真实试点接入、测试安全、客户拓展和周转储备。基准测算采用首年3个、第二年8个、第三年15个新增标准项目；测算收入分别为21.00万元、63.20万元和129.96万元。上述价格、客户数、成本及经营结果均为规划假设，不代表已签订单或实际收入。</w:t>
      </w:r>
    </w:p>
    <w:p>
      <w:pPr>
        <w:ind w:firstLine="420"/>
      </w:pPr>
      <w:r>
        <w:t>首年优先证明三件事：客户愿意付费、同一套共性模块能在第二种场景稳定运行、实施收入能够覆盖交付成本。三项成立后再扩大渠道与客户数量。对生产高可用、真实设备接入和AI回答质量设置单独验收条件，避免把演示可用等同于商业可交付。</w:t>
      </w:r>
    </w:p>
    <w:p>
      <w:r>
        <w:br w:type="page"/>
      </w:r>
    </w:p>
    <w:p>
      <w:pPr>
        <w:pStyle w:val="Heading1"/>
      </w:pPr>
      <w:r>
        <w:t>第一章 执行摘要</w:t>
      </w:r>
    </w:p>
    <w:p>
      <w:pPr>
        <w:pStyle w:val="Heading2"/>
      </w:pPr>
      <w:r>
        <w:t>1.1 痛点与机遇</w:t>
      </w:r>
    </w:p>
    <w:p>
      <w:pPr>
        <w:ind w:firstLine="420"/>
      </w:pPr>
      <w:r>
        <w:t>景区、校园和社区都需要管理空间、人员服务与设施运行。其共同问题是信息散落在大屏、工作群、纸质台账和多个业务系统中：服务对象不知道去哪里办理事项，工作人员重复确认任务，管理者难以追踪问题是否真正解决。每次建设重新开发页面与流程，又抬高了项目交付和维护成本。</w:t>
      </w:r>
    </w:p>
    <w:p>
      <w:pPr>
        <w:ind w:firstLine="420"/>
      </w:pPr>
      <w:r>
        <w:t>项目选择从导览、信息发布、报修或告警处置等高频业务切入。这些业务角色清晰、结果可记录，也能够在不替换客户全部既有系统的前提下进行试点。规模化机会来自共性模块的复用，而其前提是确认不同行业的流程差异和数据权限。</w:t>
      </w:r>
    </w:p>
    <w:p>
      <w:pPr>
        <w:pStyle w:val="Heading2"/>
      </w:pPr>
      <w:r>
        <w:t>1.2 解决方案与产品定位</w:t>
      </w:r>
    </w:p>
    <w:p>
      <w:pPr>
        <w:ind w:firstLine="420"/>
      </w:pPr>
      <w:r>
        <w:t>产品定位为面向有明确管理边界的实体场所的智慧运营通用解决方案。公共大屏、管理大屏、手机服务、工作人员端和管理后台构成五类业务终端；仿真及演示控制能力作为测试、培训和交付验收工具。客户可根据业务范围组合使用，不要求同时采购所有终端。</w:t>
      </w:r>
    </w:p>
    <w:p>
      <w:pPr>
        <w:pStyle w:val="Heading2"/>
      </w:pPr>
      <w:r>
        <w:t>1.3 当前阶段与核心指标</w:t>
      </w:r>
    </w:p>
    <w:tbl>
      <w:tblPr>
        <w:tblW w:type="auto" w:w="0"/>
        <w:jc w:val="center"/>
        <w:tblLayout w:type="fixed"/>
        <w:tblLook w:firstColumn="1" w:firstRow="1" w:lastColumn="0" w:lastRow="0" w:noHBand="0" w:noVBand="1" w:val="04A0"/>
      </w:tblPr>
      <w:tblGrid>
        <w:gridCol w:w="1814"/>
        <w:gridCol w:w="3458"/>
        <w:gridCol w:w="3912"/>
      </w:tblGrid>
      <w:tr>
        <w:trPr>
          <w:cantSplit/>
          <w:tblHeader/>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对象</w:t>
            </w:r>
          </w:p>
        </w:tc>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当前阶段</w:t>
            </w:r>
          </w:p>
        </w:tc>
        <w:tc>
          <w:tcPr>
            <w:tcW w:type="dxa" w:w="3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下一阶段重点</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青岚山境</w:t>
            </w:r>
          </w:p>
        </w:tc>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六端联动与公网演示已有记录</w:t>
            </w:r>
          </w:p>
        </w:tc>
        <w:tc>
          <w:tcPr>
            <w:tcW w:type="dxa" w:w="3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真实数据试点、生产安全与稳定性</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云栖雅苑与知行校园</w:t>
            </w:r>
          </w:p>
        </w:tc>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独立五端前端原型</w:t>
            </w:r>
          </w:p>
        </w:tc>
        <w:tc>
          <w:tcPr>
            <w:tcW w:type="dxa" w:w="3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真实身份、持久化、跨端业务联动</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通用解决方案</w:t>
            </w:r>
          </w:p>
        </w:tc>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前端组件与场景配置可复用</w:t>
            </w:r>
          </w:p>
        </w:tc>
        <w:tc>
          <w:tcPr>
            <w:tcW w:type="dxa" w:w="3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通用服务接口、部署包和行业适配</w:t>
            </w:r>
          </w:p>
        </w:tc>
      </w:tr>
    </w:tbl>
    <w:p>
      <w:pPr>
        <w:spacing w:after="0"/>
      </w:pPr>
    </w:p>
    <w:p>
      <w:pPr>
        <w:pStyle w:val="Heading2"/>
      </w:pPr>
      <w:r>
        <w:t>1.4 商业价值与社会效益</w:t>
      </w:r>
    </w:p>
    <w:p>
      <w:pPr>
        <w:ind w:firstLine="420"/>
      </w:pPr>
      <w:r>
        <w:t>对客户，平台拟减少重复录入，提高任务可追踪程度，并为服务对象提供统一入口。对团队，可复用组件、场景配置和验收用例有助于降低重复开发投入。社会价值主要体现为公共服务可达性、设施问题及时反馈和管理过程透明度；具体改善幅度应通过真实试点测量。</w:t>
      </w:r>
    </w:p>
    <w:p>
      <w:r>
        <w:br w:type="page"/>
      </w:r>
    </w:p>
    <w:p>
      <w:pPr>
        <w:pStyle w:val="Heading1"/>
      </w:pPr>
      <w:r>
        <w:t>第二章 市场痛点与政策机遇</w:t>
      </w:r>
    </w:p>
    <w:p>
      <w:pPr>
        <w:pStyle w:val="Heading2"/>
      </w:pPr>
      <w:r>
        <w:t>2.1 多场景运营的共同痛点</w:t>
      </w:r>
    </w:p>
    <w:tbl>
      <w:tblPr>
        <w:tblW w:type="auto" w:w="0"/>
        <w:jc w:val="center"/>
        <w:tblLayout w:type="fixed"/>
        <w:tblLook w:firstColumn="1" w:firstRow="1" w:lastColumn="0" w:lastRow="0" w:noHBand="0" w:noVBand="1" w:val="04A0"/>
      </w:tblPr>
      <w:tblGrid>
        <w:gridCol w:w="1304"/>
        <w:gridCol w:w="3572"/>
        <w:gridCol w:w="4309"/>
      </w:tblGrid>
      <w:tr>
        <w:trPr>
          <w:cantSplit/>
          <w:tblHeader/>
        </w:trPr>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应用场景</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优先解决的问题</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可验证的业务结果</w:t>
            </w:r>
          </w:p>
        </w:tc>
      </w:tr>
      <w:tr>
        <w:trPr>
          <w:cantSplit/>
        </w:trPr>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景区</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设施信息更新慢，导览与处置脱节</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停用信息同步、告警到处置的时间</w:t>
            </w:r>
          </w:p>
        </w:tc>
      </w:tr>
      <w:tr>
        <w:trPr>
          <w:cantSplit/>
        </w:trPr>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校园</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服务入口分散，报修与场地预约难追踪</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报修闭环、预约冲突与服务响应</w:t>
            </w:r>
          </w:p>
        </w:tc>
      </w:tr>
      <w:tr>
        <w:trPr>
          <w:cantSplit/>
        </w:trPr>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社区</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居民报修与物业分派脱节</w:t>
            </w:r>
          </w:p>
        </w:tc>
        <w:tc>
          <w:tcPr>
            <w:tcW w:type="dxa" w:w="430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工单响应、回访与逾期情况</w:t>
            </w:r>
          </w:p>
        </w:tc>
      </w:tr>
    </w:tbl>
    <w:p>
      <w:pPr>
        <w:spacing w:after="0"/>
      </w:pPr>
    </w:p>
    <w:p>
      <w:pPr>
        <w:ind w:firstLine="420"/>
      </w:pPr>
      <w:r>
        <w:t>三种场景共享“发现问题、提交请求、分派处理、反馈结果”的逻辑，但不能直接套用同一套权限与指标。例如游客关心设施可用性，师生关心场地使用规则，居民关心报修进度。产品化需要保留各行业的流程、身份和数据边界。</w:t>
      </w:r>
    </w:p>
    <w:p>
      <w:pPr>
        <w:pStyle w:val="Heading2"/>
      </w:pPr>
      <w:r>
        <w:t>2.2 政策方向与采购机会</w:t>
      </w:r>
    </w:p>
    <w:p>
      <w:pPr>
        <w:ind w:firstLine="420"/>
      </w:pPr>
      <w:r>
        <w:t>文化旅游数字化、教育数字化、城市社区治理和公共服务信息化，为本项目提供需求背景。实际机会仍取决于采购单位预算、年度建设计划、既有系统合同以及验收要求。市场推进拟围绕客户已经立项的服务流程改进开展，不以政策补贴作为收入来源或成交依据。</w:t>
      </w:r>
    </w:p>
    <w:p>
      <w:pPr>
        <w:ind w:firstLine="420"/>
      </w:pPr>
      <w:r>
        <w:t>试点签约前逐项核验相关采购制度、数据管理要求和部署条件。涉及个人信息的业务按必要范围采集，明确使用目的、保存期限和访问权限；面向校园与社区的身份信息、住址及服务记录应按客户要求隔离，公共大屏只展示允许公开的信息。</w:t>
      </w:r>
    </w:p>
    <w:p>
      <w:pPr>
        <w:pStyle w:val="Heading2"/>
      </w:pPr>
      <w:r>
        <w:t>2.3 市场需求量化与验证方法</w:t>
      </w:r>
    </w:p>
    <w:p>
      <w:pPr>
        <w:ind w:firstLine="420"/>
      </w:pPr>
      <w:r>
        <w:t>初期采用自下而上的客户池估算，而不以宏观行业规模代替可获得收入。规划首年筛选30家具有明确管理主体和流程改进需求的潜在客户，完成12次有效需求访谈，形成6份试点方案，并以3个付费项目为基准目标。30、12、6、3均为经营目标，需逐阶段依据实际转化调整。</w:t>
      </w:r>
    </w:p>
    <w:p>
      <w:pPr>
        <w:ind w:firstLine="420"/>
      </w:pPr>
      <w:r>
        <w:t>需求调研重点记录问题发生频率、每次处理耗时、涉及岗位、现有软件费用和预算决策流程。单个试点以连续两周基线与上线后至少四周数据进行比较，按相近业务量观察响应时间与闭环比例。没有可核验的基线时，先验证流程可用与数据完整，不宣称降本增效比例。</w:t>
      </w:r>
    </w:p>
    <w:p>
      <w:pPr>
        <w:pStyle w:val="Heading2"/>
      </w:pPr>
      <w:r>
        <w:t>2.4 市场空白与项目切入机会</w:t>
      </w:r>
    </w:p>
    <w:p>
      <w:pPr>
        <w:ind w:firstLine="420"/>
      </w:pPr>
      <w:r>
        <w:t>项目优先面向单园区、单校区和单小区等范围明确的管理单元。相较大型综合平台，本项目拟通过较小范围试点降低客户初次投入；相较纯展示大屏，重点提供从服务申请到后台审批的业务闭环；相较单点工单工具，增加空间展示、服务入口及场景验证。上述为定位差异，尚需通过竞品报价、客户访谈和试点结果验证。</w:t>
      </w:r>
    </w:p>
    <w:p>
      <w:r>
        <w:br w:type="page"/>
      </w:r>
    </w:p>
    <w:p>
      <w:pPr>
        <w:pStyle w:val="Heading1"/>
      </w:pPr>
      <w:r>
        <w:t>第三章 产品定位与系统架构</w:t>
      </w:r>
    </w:p>
    <w:p>
      <w:pPr>
        <w:pStyle w:val="Heading2"/>
      </w:pPr>
      <w:r>
        <w:t>3.1 通用底座与行业场景包</w:t>
      </w:r>
    </w:p>
    <w:p>
      <w:pPr>
        <w:ind w:firstLine="420"/>
      </w:pPr>
      <w:r>
        <w:t>目标产品由通用底座、行业场景包和客户配置三部分构成。通用底座拟管理组织身份、设施、任务、公告、审计和统一消息；场景包承载景区导览、校园场馆服务、社区物业服务等规则；客户配置承载品牌、地图、角色、指标和审批参数。前端复用已有基础，服务端领域抽象及跨行业复用仍需实施。</w:t>
      </w:r>
    </w:p>
    <w:p>
      <w:pPr>
        <w:pStyle w:val="Heading2"/>
      </w:pPr>
      <w:r>
        <w:t>3.2 端云协同系统架构</w:t>
      </w:r>
    </w:p>
    <w:tbl>
      <w:tblPr>
        <w:tblW w:type="auto" w:w="0"/>
        <w:jc w:val="center"/>
        <w:tblLayout w:type="fixed"/>
        <w:tblLook w:firstColumn="1" w:firstRow="1" w:lastColumn="0" w:lastRow="0" w:noHBand="0" w:noVBand="1" w:val="04A0"/>
      </w:tblPr>
      <w:tblGrid>
        <w:gridCol w:w="1531"/>
        <w:gridCol w:w="3402"/>
        <w:gridCol w:w="4252"/>
      </w:tblGrid>
      <w:tr>
        <w:trPr>
          <w:cantSplit/>
          <w:tblHeader/>
        </w:trPr>
        <w:tc>
          <w:tcPr>
            <w:tcW w:type="dxa" w:w="153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层次</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主要内容</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实现与规划边界</w:t>
            </w:r>
          </w:p>
        </w:tc>
      </w:tr>
      <w:tr>
        <w:trPr>
          <w:cantSplit/>
        </w:trPr>
        <w:tc>
          <w:tcPr>
            <w:tcW w:type="dxa" w:w="153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终端层</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五类业务终端与可选演示控制端</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景区六端已联动；校园社区五端为原型</w:t>
            </w:r>
          </w:p>
        </w:tc>
      </w:tr>
      <w:tr>
        <w:trPr>
          <w:cantSplit/>
        </w:trPr>
        <w:tc>
          <w:tcPr>
            <w:tcW w:type="dxa" w:w="153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业务层</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身份、设施、工单、公告、审批、预约</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从景区实现中抽取通用服务，按行业扩展</w:t>
            </w:r>
          </w:p>
        </w:tc>
      </w:tr>
      <w:tr>
        <w:trPr>
          <w:cantSplit/>
        </w:trPr>
        <w:tc>
          <w:tcPr>
            <w:tcW w:type="dxa" w:w="153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数据与智能层</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PostgreSQL、状态通知、AI服务与仿真</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景区已有基础；多客户隔离需专项建设</w:t>
            </w:r>
          </w:p>
        </w:tc>
      </w:tr>
      <w:tr>
        <w:trPr>
          <w:cantSplit/>
        </w:trPr>
        <w:tc>
          <w:tcPr>
            <w:tcW w:type="dxa" w:w="153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交付运维层</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部署、日志、备份、测试与验收</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已有演示部署记录；生产保障需补齐</w:t>
            </w:r>
          </w:p>
        </w:tc>
      </w:tr>
    </w:tbl>
    <w:p>
      <w:pPr>
        <w:spacing w:after="0"/>
      </w:pPr>
    </w:p>
    <w:p>
      <w:pPr>
        <w:ind w:firstLine="420"/>
      </w:pPr>
      <w:r>
        <w:t>当前景区采用Vue 3、TypeScript、Three.js和uni-app构建不同终端，以Node.js、PostgreSQL和HTTP及WebSocket支撑业务。前端模板通过配置及组件复用适配品牌和页面。近期商业交付优先采用客户独立实例和独立数据库，在团队具备隔离治理能力后再评估共享多租户架构。</w:t>
      </w:r>
    </w:p>
    <w:p>
      <w:pPr>
        <w:pStyle w:val="Heading2"/>
      </w:pPr>
      <w:r>
        <w:t>3.3 核心功能模块</w:t>
      </w:r>
    </w:p>
    <w:p>
      <w:pPr>
        <w:ind w:firstLine="420"/>
      </w:pPr>
      <w:r>
        <w:t>空间展示将区域、建筑和设施组织到可交互视图中，帮助用户找到服务。移动入口承接查询、预约和报修等操作。工作人员端处理分派和反馈，管理后台维护内容、规则及必要审批，管理大屏汇总运营状态。AI问答在受控知识与授权数据范围内提供辅助查询。</w:t>
      </w:r>
    </w:p>
    <w:p>
      <w:pPr>
        <w:ind w:firstLine="420"/>
      </w:pPr>
      <w:r>
        <w:t>仿真模块用于高峰、拥堵、设施维护和任务处置等场景预演，辅助开发测试与人员培训。其用途是复现条件、观察影响和验证流程，不能把模拟客流或预设问答当作真实运营数据及模型效果。</w:t>
      </w:r>
    </w:p>
    <w:p>
      <w:pPr>
        <w:pStyle w:val="Heading2"/>
      </w:pPr>
      <w:r>
        <w:t>3.4 兼容性与部署优势</w:t>
      </w:r>
    </w:p>
    <w:p>
      <w:pPr>
        <w:ind w:firstLine="420"/>
      </w:pPr>
      <w:r>
        <w:t>系统优先采用浏览器和H5降低终端安装成本，桌面大屏与手机服务按使用环境适配。设备、门禁、支付、校园身份和既有物业系统均通过单独评估的接口集成接入，不能承诺通用兼容。微信、安卓原生及特殊终端以各自的真机验收结果作为交付依据。</w:t>
      </w:r>
    </w:p>
    <w:p>
      <w:r>
        <w:br w:type="page"/>
      </w:r>
    </w:p>
    <w:p>
      <w:pPr>
        <w:pStyle w:val="Heading1"/>
      </w:pPr>
      <w:r>
        <w:t>第四章 核心技术与数据验证路径</w:t>
      </w:r>
    </w:p>
    <w:p>
      <w:pPr>
        <w:pStyle w:val="Heading2"/>
      </w:pPr>
      <w:r>
        <w:t>4.1 技术路线与产品化重点</w:t>
      </w:r>
    </w:p>
    <w:p>
      <w:pPr>
        <w:ind w:firstLine="420"/>
      </w:pPr>
      <w:r>
        <w:t>技术路线以业务协同和可验证交付为核心。第一步保留景区已验证的状态管理与数据持久化能力，梳理跨行业共性对象；第二步实现身份、设施、工单与公告的统一服务接口；第三步将各场景规则和页面连接到接口，形成可独立部署、可升级的交付版本。场景配置只负责适用的参数差异，复杂业务仍以清晰的行业模块实现。</w:t>
      </w:r>
    </w:p>
    <w:p>
      <w:pPr>
        <w:ind w:firstLine="420"/>
      </w:pPr>
      <w:r>
        <w:t>景区客流仿真采用公式、场景参数和时间控制推动状态变化，帮助复现测试条件。AI使用外部模型服务，项目创新主要在于场景数据组织、业务约束与评测流程，不以自研基础模型或未验证算法精度作为竞争优势。通用仿真框架和自动化知识质量控制属于后续产品化任务。</w:t>
      </w:r>
    </w:p>
    <w:p>
      <w:pPr>
        <w:pStyle w:val="Heading2"/>
      </w:pPr>
      <w:r>
        <w:t>4.2 数据来源与基线验证</w:t>
      </w:r>
    </w:p>
    <w:tbl>
      <w:tblPr>
        <w:tblW w:type="auto" w:w="0"/>
        <w:jc w:val="center"/>
        <w:tblLayout w:type="fixed"/>
        <w:tblLook w:firstColumn="1" w:firstRow="1" w:lastColumn="0" w:lastRow="0" w:noHBand="0" w:noVBand="1" w:val="04A0"/>
      </w:tblPr>
      <w:tblGrid>
        <w:gridCol w:w="1701"/>
        <w:gridCol w:w="3402"/>
        <w:gridCol w:w="4082"/>
      </w:tblGrid>
      <w:tr>
        <w:trPr>
          <w:cantSplit/>
          <w:tblHeader/>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证据对象</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已有依据</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可以支持的结论</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景区部署</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2026年9月24日部署记录</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公网页面、健康检查、预约及OA链路有验证记录</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前端复用</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2026年9月25日模板验收记录</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模板27项单元测试、16项浏览器测试及独立复制构建通过</w:t>
            </w:r>
          </w:p>
        </w:tc>
      </w:tr>
      <w:tr>
        <w:trPr>
          <w:cantSplit/>
        </w:trPr>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跨行业能力</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校园社区README与替换指南</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支持独立前端与配置复用，不代表统一后台已完成</w:t>
            </w:r>
          </w:p>
        </w:tc>
      </w:tr>
    </w:tbl>
    <w:p>
      <w:pPr>
        <w:spacing w:after="0"/>
      </w:pPr>
    </w:p>
    <w:p>
      <w:pPr>
        <w:ind w:firstLine="420"/>
      </w:pPr>
      <w:r>
        <w:t>以上是既有工程记录中的验证结论，不能直接推导生产承载量或客户使用效果。真实试点还需取得合法授权的数据、明确指标口径，并保存版本、测试条件和问题清单。性能指标必须注明设备、并发模型、运行时间和数据规模。</w:t>
      </w:r>
    </w:p>
    <w:p>
      <w:pPr>
        <w:pStyle w:val="Heading2"/>
      </w:pPr>
      <w:r>
        <w:t>4.3 多端一致性与弱网处理</w:t>
      </w:r>
    </w:p>
    <w:p>
      <w:pPr>
        <w:ind w:firstLine="420"/>
      </w:pPr>
      <w:r>
        <w:t>景区现有实现通过幂等键与版本检查约束重复或过期写入，提交后使用WebSocket通知终端重新获取状态。通用化时保留这一思路，并在断网后明确显示数据失效状态，恢复连接后重新读取服务端记录。预约和工单不得仅凭本地界面变化认定成功，弱网下提交结果不明时应核对原请求，避免重复业务。</w:t>
      </w:r>
    </w:p>
    <w:p>
      <w:pPr>
        <w:pStyle w:val="Heading2"/>
      </w:pPr>
      <w:r>
        <w:t>4.4 真实场景验证计划</w:t>
      </w:r>
    </w:p>
    <w:p>
      <w:pPr>
        <w:ind w:firstLine="420"/>
      </w:pPr>
      <w:r>
        <w:t>拟选择一个管理单元开展8至12周试点，先接入设施清单、员工角色和一条报修或告警流程，再逐步扩展。验收目标建议包括关键流程用例全部通过、测试集内无重复结案、权限越界用例全部被拒绝、备份恢复抽样记录一致。AI单独建立不少于100条人工审核问题，验证事实依据、实时状态与未知问题处理，达标范围仅限被测知识与场景。</w:t>
      </w:r>
    </w:p>
    <w:p>
      <w:pPr>
        <w:ind w:firstLine="420"/>
      </w:pPr>
      <w:r>
        <w:t>效率改善以客户确认的基线为准。试点结束提交业务日志、问题修复记录、权限与恢复报告，由客户负责人签署验收，再决定是否扩大范围。</w:t>
      </w:r>
    </w:p>
    <w:p>
      <w:r>
        <w:br w:type="page"/>
      </w:r>
    </w:p>
    <w:p>
      <w:pPr>
        <w:pStyle w:val="Heading1"/>
      </w:pPr>
      <w:r>
        <w:t>第五章 商业模式与市场落地策略</w:t>
      </w:r>
    </w:p>
    <w:p>
      <w:pPr>
        <w:pStyle w:val="Heading2"/>
      </w:pPr>
      <w:r>
        <w:t>5.1 单项目经济模型与定价</w:t>
      </w:r>
    </w:p>
    <w:p>
      <w:pPr>
        <w:ind w:firstLine="420"/>
      </w:pPr>
      <w:r>
        <w:t>拟采用B2B软件服务模式。标准项目按一个管理单元、一个行业场景包和约定业务范围定价，首年收取实施费与年度软件服务费。所有价格为不含税的规划报价，需经访谈、交付工时及供应商成本验证。</w:t>
      </w:r>
    </w:p>
    <w:tbl>
      <w:tblPr>
        <w:tblW w:type="auto" w:w="0"/>
        <w:jc w:val="center"/>
        <w:tblLayout w:type="fixed"/>
        <w:tblLook w:firstColumn="1" w:firstRow="1" w:lastColumn="0" w:lastRow="0" w:noHBand="0" w:noVBand="1" w:val="04A0"/>
      </w:tblPr>
      <w:tblGrid>
        <w:gridCol w:w="2041"/>
        <w:gridCol w:w="2324"/>
        <w:gridCol w:w="4819"/>
      </w:tblGrid>
      <w:tr>
        <w:trPr>
          <w:cantSplit/>
          <w:tblHeader/>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收费项目</w:t>
            </w:r>
          </w:p>
        </w:tc>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规划价格</w:t>
            </w:r>
          </w:p>
        </w:tc>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范围与计费边界</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标准实施</w:t>
            </w:r>
          </w:p>
        </w:tc>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4.00万元每项目</w:t>
            </w:r>
          </w:p>
        </w:tc>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品牌与基础地图配置、基础数据整理、约定流程、培训验收</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年度软件服务</w:t>
            </w:r>
          </w:p>
        </w:tc>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3.00万元每项目年</w:t>
            </w:r>
          </w:p>
        </w:tc>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标准功能更新、远程支持及约定资源额度</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外部系统集成</w:t>
            </w:r>
          </w:p>
        </w:tc>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评估后单独报价</w:t>
            </w:r>
          </w:p>
        </w:tc>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身份、门禁、支付、设备接口与历史数据迁移</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复杂空间建模与驻场</w:t>
            </w:r>
          </w:p>
        </w:tc>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评估后单独报价</w:t>
            </w:r>
          </w:p>
        </w:tc>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高精度模型制作、专职驻场及特殊终端服务</w:t>
            </w:r>
          </w:p>
        </w:tc>
      </w:tr>
    </w:tbl>
    <w:p>
      <w:pPr>
        <w:spacing w:after="0"/>
      </w:pPr>
    </w:p>
    <w:p>
      <w:pPr>
        <w:ind w:firstLine="420"/>
      </w:pPr>
      <w:r>
        <w:t>标准价格暂以五类业务终端、一个场景包、不超过100个设施、20个员工账号和一次基础培训为测算边界，不代表当前容量上限。模型调用、云资源、工单支持量与响应时段须在服务清单中约定；超额部分事先报价，不提供无限使用承诺。显示硬件、传感器和第三方收费由客户另行采购。</w:t>
      </w:r>
    </w:p>
    <w:p>
      <w:pPr>
        <w:ind w:firstLine="420"/>
      </w:pPr>
      <w:r>
        <w:t>单个新项目首年收入7.00万元；假设直接交付成本2.20万元、年度直接服务成本0.90万元，贡献毛利3.90万元，贡献毛利率约55.7%。续费项目年收入3.00万元、直接服务成本0.90万元，贡献毛利2.10万元。贡献毛利尚需覆盖研发、销售与管理固定成本。</w:t>
      </w:r>
    </w:p>
    <w:p>
      <w:pPr>
        <w:pStyle w:val="Heading2"/>
      </w:pPr>
      <w:r>
        <w:t>5.2 试点直销与渠道合作</w:t>
      </w:r>
    </w:p>
    <w:p>
      <w:pPr>
        <w:ind w:firstLine="420"/>
      </w:pPr>
      <w:r>
        <w:t>第一路径是定向试点直销，通过现场走访确定预算责任人和真实问题，签署范围明确的试点合同。第二路径是在完成可复用案例后与本地系统集成商合作，由伙伴承担约定的现场实施，团队提供软件和远程支持。第三路径是与教学实训单位合作验证场景与交付方法，形成独立报价的教学使用方案，暂不计入三年基准收入。</w:t>
      </w:r>
    </w:p>
    <w:p>
      <w:r>
        <w:br w:type="page"/>
      </w:r>
    </w:p>
    <w:p>
      <w:pPr>
        <w:pStyle w:val="Heading2"/>
      </w:pPr>
      <w:r>
        <w:t>5.3 目标客户与付费主体</w:t>
      </w:r>
    </w:p>
    <w:tbl>
      <w:tblPr>
        <w:tblW w:type="auto" w:w="0"/>
        <w:jc w:val="center"/>
        <w:tblLayout w:type="fixed"/>
        <w:tblLook w:firstColumn="1" w:firstRow="1" w:lastColumn="0" w:lastRow="0" w:noHBand="0" w:noVBand="1" w:val="04A0"/>
      </w:tblPr>
      <w:tblGrid>
        <w:gridCol w:w="1191"/>
        <w:gridCol w:w="3402"/>
        <w:gridCol w:w="4592"/>
      </w:tblGrid>
      <w:tr>
        <w:trPr>
          <w:cantSplit/>
          <w:tblHeader/>
        </w:trPr>
        <w:tc>
          <w:tcPr>
            <w:tcW w:type="dxa" w:w="11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场景</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主要使用者</w:t>
            </w:r>
          </w:p>
        </w:tc>
        <w:tc>
          <w:tcPr>
            <w:tcW w:type="dxa" w:w="4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决策与付费主体</w:t>
            </w:r>
          </w:p>
        </w:tc>
      </w:tr>
      <w:tr>
        <w:trPr>
          <w:cantSplit/>
        </w:trPr>
        <w:tc>
          <w:tcPr>
            <w:tcW w:type="dxa" w:w="11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景区</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游客、运营人员、前线员工</w:t>
            </w:r>
          </w:p>
        </w:tc>
        <w:tc>
          <w:tcPr>
            <w:tcW w:type="dxa" w:w="4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景区运营公司及其采购管理部门</w:t>
            </w:r>
          </w:p>
        </w:tc>
      </w:tr>
      <w:tr>
        <w:trPr>
          <w:cantSplit/>
        </w:trPr>
        <w:tc>
          <w:tcPr>
            <w:tcW w:type="dxa" w:w="11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校园</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师生、后勤人员、管理员</w:t>
            </w:r>
          </w:p>
        </w:tc>
        <w:tc>
          <w:tcPr>
            <w:tcW w:type="dxa" w:w="4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学校后勤或信息化部门，按校内程序采购</w:t>
            </w:r>
          </w:p>
        </w:tc>
      </w:tr>
      <w:tr>
        <w:trPr>
          <w:cantSplit/>
        </w:trPr>
        <w:tc>
          <w:tcPr>
            <w:tcW w:type="dxa" w:w="11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社区</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居民、物业员工、管理人员</w:t>
            </w:r>
          </w:p>
        </w:tc>
        <w:tc>
          <w:tcPr>
            <w:tcW w:type="dxa" w:w="4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物业企业或依法确定的采购主体</w:t>
            </w:r>
          </w:p>
        </w:tc>
      </w:tr>
    </w:tbl>
    <w:p>
      <w:pPr>
        <w:spacing w:after="0"/>
      </w:pPr>
    </w:p>
    <w:p>
      <w:pPr>
        <w:pStyle w:val="Heading2"/>
      </w:pPr>
      <w:r>
        <w:t>5.4 推广策略与转化路径</w:t>
      </w:r>
    </w:p>
    <w:p>
      <w:pPr>
        <w:ind w:firstLine="420"/>
      </w:pPr>
      <w:r>
        <w:t>销售过程按有效访谈、现场演示、范围确认、预算审批、合同签署、验收回款和续费复盘推进。演示围绕一条完整业务，而非页面数量。建议合同采用实施部分40%启动、40%联调、20%验收的收款节点，年度服务费按服务期预收；具体条款依客户采购制度协商，预收款不直接等同于当期收入。</w:t>
      </w:r>
    </w:p>
    <w:p>
      <w:pPr>
        <w:ind w:firstLine="420"/>
      </w:pPr>
      <w:r>
        <w:t>对未明确预算、采购主体或接口责任的项目，先做有限范围需求评估，避免长期免费定制。渠道折扣、佣金与驻场投入必须重新计算单项目利润，不直接套用直销模型。</w:t>
      </w:r>
    </w:p>
    <w:p>
      <w:r>
        <w:br w:type="page"/>
      </w:r>
    </w:p>
    <w:p>
      <w:pPr>
        <w:pStyle w:val="Heading1"/>
      </w:pPr>
      <w:r>
        <w:t>第六章 财务规划与资金用途</w:t>
      </w:r>
    </w:p>
    <w:p>
      <w:pPr>
        <w:pStyle w:val="Heading2"/>
      </w:pPr>
      <w:r>
        <w:t>6.1 三年收入预测</w:t>
      </w:r>
    </w:p>
    <w:p>
      <w:pPr>
        <w:ind w:firstLine="420"/>
      </w:pPr>
      <w:r>
        <w:t>测算以开始商业化后的连续三个经营年度为期间，单位为万元，不含税。基准假设为每年新增3、8、15个标准项目，每年期初已有客户续费率80%。期望续费客户数允许出现小数，仅用于概率模型；真实合同以整数项目计。新项目按首个完整12个月服务周期测算，实际签约在年中时需按服务履约期间分摊年度收入。</w:t>
      </w:r>
    </w:p>
    <w:tbl>
      <w:tblPr>
        <w:tblW w:type="auto" w:w="0"/>
        <w:jc w:val="center"/>
        <w:tblLayout w:type="fixed"/>
        <w:tblLook w:firstColumn="1" w:firstRow="1" w:lastColumn="0" w:lastRow="0" w:noHBand="0" w:noVBand="1" w:val="04A0"/>
      </w:tblPr>
      <w:tblGrid>
        <w:gridCol w:w="4082"/>
        <w:gridCol w:w="1701"/>
        <w:gridCol w:w="1701"/>
        <w:gridCol w:w="1701"/>
      </w:tblGrid>
      <w:tr>
        <w:trPr>
          <w:cantSplit/>
          <w:tblHeader/>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项目</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第一年</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第二年</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第三年</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新增项目数</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3</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8</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15</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期望续费项目数</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2.40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8.32</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实施收入</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12.00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32.00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60.00</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新项目年度服务收入</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9.00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24.00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45.00</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续费服务收入</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0.00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7.20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24.96</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测算营业收入</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21.00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63.20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129.96</w:t>
            </w:r>
          </w:p>
        </w:tc>
      </w:tr>
    </w:tbl>
    <w:p>
      <w:pPr>
        <w:spacing w:after="0"/>
      </w:pPr>
    </w:p>
    <w:p>
      <w:pPr>
        <w:ind w:firstLine="420"/>
      </w:pPr>
      <w:r>
        <w:t>新增项目收入＝项目数×7万元；第二年续费数＝3×80%；第三年续费数＝（8＋2.4）×80%。不计赛事奖金、补贴、硬件差价、教学授权及尚无依据的增值收入。</w:t>
      </w:r>
    </w:p>
    <w:p>
      <w:pPr>
        <w:pStyle w:val="Heading2"/>
      </w:pPr>
      <w:r>
        <w:t>6.2 成本结构分析</w:t>
      </w:r>
    </w:p>
    <w:tbl>
      <w:tblPr>
        <w:tblW w:type="auto" w:w="0"/>
        <w:jc w:val="center"/>
        <w:tblLayout w:type="fixed"/>
        <w:tblLook w:firstColumn="1" w:firstRow="1" w:lastColumn="0" w:lastRow="0" w:noHBand="0" w:noVBand="1" w:val="04A0"/>
      </w:tblPr>
      <w:tblGrid>
        <w:gridCol w:w="4082"/>
        <w:gridCol w:w="1701"/>
        <w:gridCol w:w="1701"/>
        <w:gridCol w:w="1701"/>
      </w:tblGrid>
      <w:tr>
        <w:trPr>
          <w:cantSplit/>
          <w:tblHeader/>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成本及结果</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第一年</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第二年</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第三年</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直接实施成本</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6.60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17.60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33.00</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直接年度服务成本</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2.70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9.36</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20.99</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贡献毛利</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11.70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36.24</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75.97</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固定研发与管理费用</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14.00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20.00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30.00</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销售与客户拓展费用</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4.00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6.00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10.00</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经营损益</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－6.30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10.24</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35.97</w:t>
            </w:r>
          </w:p>
        </w:tc>
      </w:tr>
    </w:tbl>
    <w:p>
      <w:pPr>
        <w:spacing w:after="0"/>
      </w:pPr>
    </w:p>
    <w:p>
      <w:pPr>
        <w:ind w:firstLine="420"/>
      </w:pPr>
      <w:r>
        <w:t>经营损益为税前简化预算，未计融资费用、坏账、折旧及实际税费，不能视为经审计净利润。直接实施成本覆盖项目配置、数据整理、培训与现场支持；年度直接服务成本覆盖计划范围内的云资源、AI调用、远程支持及维护工时。固定费用按精简团队与阶段性服务采购编制，若改为全职招聘，应重算人力和现金需求。</w:t>
      </w:r>
    </w:p>
    <w:p>
      <w:r>
        <w:br w:type="page"/>
      </w:r>
    </w:p>
    <w:p>
      <w:pPr>
        <w:pStyle w:val="Heading2"/>
      </w:pPr>
      <w:r>
        <w:t>6.3 盈亏平衡与资金分配</w:t>
      </w:r>
    </w:p>
    <w:p>
      <w:pPr>
        <w:ind w:firstLine="420"/>
      </w:pPr>
      <w:r>
        <w:t>首年固定研发管理及销售费用共18万元，按每个新项目3.90万元贡献毛利计算，不含续费时需要5个完整标准项目才能覆盖当年固定费用。基准首年3个项目尚未盈亏平衡；第二年是否转正依赖成交、交付成本和续费。仅有经营利润转正并不代表累计投入已回收。</w:t>
      </w:r>
    </w:p>
    <w:tbl>
      <w:tblPr>
        <w:tblW w:type="auto" w:w="0"/>
        <w:jc w:val="center"/>
        <w:tblLayout w:type="fixed"/>
        <w:tblLook w:firstColumn="1" w:firstRow="1" w:lastColumn="0" w:lastRow="0" w:noHBand="0" w:noVBand="1" w:val="04A0"/>
      </w:tblPr>
      <w:tblGrid>
        <w:gridCol w:w="3402"/>
        <w:gridCol w:w="1531"/>
        <w:gridCol w:w="4252"/>
      </w:tblGrid>
      <w:tr>
        <w:trPr>
          <w:cantSplit/>
          <w:tblHeader/>
        </w:trPr>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首阶段拟筹资金用途</w:t>
            </w:r>
          </w:p>
        </w:tc>
        <w:tc>
          <w:tcPr>
            <w:tcW w:type="dxa" w:w="153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金额</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使用重点</w:t>
            </w:r>
          </w:p>
        </w:tc>
      </w:tr>
      <w:tr>
        <w:trPr>
          <w:cantSplit/>
        </w:trPr>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通用平台产品化</w:t>
            </w:r>
          </w:p>
        </w:tc>
        <w:tc>
          <w:tcPr>
            <w:tcW w:type="dxa" w:w="153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10.00</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业务抽象、接口与场景接入</w:t>
            </w:r>
          </w:p>
        </w:tc>
      </w:tr>
      <w:tr>
        <w:trPr>
          <w:cantSplit/>
        </w:trPr>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试点实施与数据接入</w:t>
            </w:r>
          </w:p>
        </w:tc>
        <w:tc>
          <w:tcPr>
            <w:tcW w:type="dxa" w:w="153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6.00</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现场交付、数据核对与培训</w:t>
            </w:r>
          </w:p>
        </w:tc>
      </w:tr>
      <w:tr>
        <w:trPr>
          <w:cantSplit/>
        </w:trPr>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测试安全及基础资源</w:t>
            </w:r>
          </w:p>
        </w:tc>
        <w:tc>
          <w:tcPr>
            <w:tcW w:type="dxa" w:w="153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4.00</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评测、权限、备份和稳定性</w:t>
            </w:r>
          </w:p>
        </w:tc>
      </w:tr>
      <w:tr>
        <w:trPr>
          <w:cantSplit/>
        </w:trPr>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客户拓展与商务准备</w:t>
            </w:r>
          </w:p>
        </w:tc>
        <w:tc>
          <w:tcPr>
            <w:tcW w:type="dxa" w:w="153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3.00</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调研、合同及案例制作</w:t>
            </w:r>
          </w:p>
        </w:tc>
      </w:tr>
      <w:tr>
        <w:trPr>
          <w:cantSplit/>
        </w:trPr>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周转与风险储备</w:t>
            </w:r>
          </w:p>
        </w:tc>
        <w:tc>
          <w:tcPr>
            <w:tcW w:type="dxa" w:w="153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7.00</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回款延迟、缺陷修复与额外支持</w:t>
            </w:r>
          </w:p>
        </w:tc>
      </w:tr>
      <w:tr>
        <w:trPr>
          <w:cantSplit/>
        </w:trPr>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合计</w:t>
            </w:r>
          </w:p>
        </w:tc>
        <w:tc>
          <w:tcPr>
            <w:tcW w:type="dxa" w:w="153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30.00</w:t>
            </w:r>
          </w:p>
        </w:tc>
        <w:tc>
          <w:tcPr>
            <w:tcW w:type="dxa" w:w="42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以阶段验收决定支出</w:t>
            </w:r>
          </w:p>
        </w:tc>
      </w:tr>
    </w:tbl>
    <w:p>
      <w:pPr>
        <w:spacing w:after="0"/>
      </w:pPr>
    </w:p>
    <w:p>
      <w:pPr>
        <w:ind w:firstLine="420"/>
      </w:pPr>
      <w:r>
        <w:t>资金用途与经营成本存在交叉，是同一批资金的用途分类，不应叠加为额外费用。资金可来自团队投入、合作开发或合规支持，融资方式与权益比例另行谈判。按第二年模型，新增项目减少一半至4个时，其他假设不变，经营损益约为－5.36万元；新增项目整体降价10%时约为4.64万元；续费率从80%降至60%时约为8.98万元。应按月更新现金收支，若现金只能覆盖未来三个月刚性支出，则暂停扩张和非必要定制。</w:t>
      </w:r>
    </w:p>
    <w:p>
      <w:r>
        <w:br w:type="page"/>
      </w:r>
    </w:p>
    <w:p>
      <w:pPr>
        <w:pStyle w:val="Heading1"/>
      </w:pPr>
      <w:r>
        <w:t>第七章 团队构成与敏捷执行机制</w:t>
      </w:r>
    </w:p>
    <w:p>
      <w:pPr>
        <w:pStyle w:val="Heading2"/>
      </w:pPr>
      <w:r>
        <w:t>7.1 团队分工与能力互补</w:t>
      </w:r>
    </w:p>
    <w:p>
      <w:pPr>
        <w:ind w:firstLine="420"/>
      </w:pPr>
      <w:r>
        <w:t>现有项目材料将团队职责划分为前端研发、平台运维、测试与AI研发四个方向。商业化延续这一协作基础，并补齐客户需求、合同报价与售后责任。具体任职、投入时间和权益安排通过团队协议明确，不以未确定的专家、学校或企业背书作为经营条件。</w:t>
      </w:r>
    </w:p>
    <w:tbl>
      <w:tblPr>
        <w:tblW w:type="auto" w:w="0"/>
        <w:jc w:val="center"/>
        <w:tblLayout w:type="fixed"/>
        <w:tblLook w:firstColumn="1" w:firstRow="1" w:lastColumn="0" w:lastRow="0" w:noHBand="0" w:noVBand="1" w:val="04A0"/>
      </w:tblPr>
      <w:tblGrid>
        <w:gridCol w:w="2268"/>
        <w:gridCol w:w="3402"/>
        <w:gridCol w:w="3515"/>
      </w:tblGrid>
      <w:tr>
        <w:trPr>
          <w:cantSplit/>
          <w:tblHeader/>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岗位方向</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主要责任</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商业交付物</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产品与前端研发</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统筹场景需求、终端体验与组件复用</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范围清单、交互版本、客户操作手册</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平台与运维</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通用服务、部署、权限、备份和故障恢复</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部署包、运维手册、恢复记录</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测试与交付质量</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流程验证、跨端核对、缺陷跟踪</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用例、报告、验收记录</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AI研发</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知识配置、模型接入、评测与成本控制</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知识版本、评测集、异常处理记录</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商务与客户成功</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预算确认、合同回款、培训和续费</w:t>
            </w:r>
          </w:p>
        </w:tc>
        <w:tc>
          <w:tcPr>
            <w:tcW w:type="dxa" w:w="351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报价、客户台账、回款与续费计划</w:t>
            </w:r>
          </w:p>
        </w:tc>
      </w:tr>
    </w:tbl>
    <w:p>
      <w:pPr>
        <w:spacing w:after="0"/>
      </w:pPr>
    </w:p>
    <w:p>
      <w:pPr>
        <w:pStyle w:val="Heading2"/>
      </w:pPr>
      <w:r>
        <w:t>7.2 资源支持与能力保障</w:t>
      </w:r>
    </w:p>
    <w:p>
      <w:pPr>
        <w:ind w:firstLine="420"/>
      </w:pPr>
      <w:r>
        <w:t>现有资源包括景区工程、前端模板、两套延伸场景、接口与部署材料、测试用例及实施记录。其价值在于缩短需求演示与技术验证的准备时间。商业化仍需配置行业访谈资源、法务与财税支持，以及真实试点的接口和数据协作。外部合作以书面范围、费用及责任为准。</w:t>
      </w:r>
    </w:p>
    <w:p>
      <w:pPr>
        <w:ind w:firstLine="420"/>
      </w:pPr>
      <w:r>
        <w:t>学校、指导教师与潜在合作单位可作为资源对接对象，但合作尚未确认时不列为既有合作伙伴。项目涉及原始公司版本及团队修改，应先完成来源和授权梳理，再确定可对外授权的代码、素材与服务范围。</w:t>
      </w:r>
    </w:p>
    <w:p>
      <w:pPr>
        <w:pStyle w:val="Heading2"/>
      </w:pPr>
      <w:r>
        <w:t>7.3 敏捷执行与迭代机制</w:t>
      </w:r>
    </w:p>
    <w:p>
      <w:pPr>
        <w:ind w:firstLine="420"/>
      </w:pPr>
      <w:r>
        <w:t>研发采用双周迭代，按需求确认、开发、自动测试、部署验证、客户验收组织交付。每项需求包含业务负责人、使用场景、影响终端和验收标准，变更增加工期或成本时先调整范围。每轮保留代码版本、数据或知识版本、部署记录和测试报告。</w:t>
      </w:r>
    </w:p>
    <w:p>
      <w:pPr>
        <w:ind w:firstLine="420"/>
      </w:pPr>
      <w:r>
        <w:t>每月复盘线索转化、项目工时、故障、回款和续费风险。关键业务与运维操作至少安排两人熟悉，交付资料持续更新，减少人员时间变化对客户服务的影响。未经验证的功能保持关闭或限定试点使用，避免进入标准报价。</w:t>
      </w:r>
    </w:p>
    <w:p>
      <w:r>
        <w:br w:type="page"/>
      </w:r>
    </w:p>
    <w:p>
      <w:pPr>
        <w:pStyle w:val="Heading1"/>
      </w:pPr>
      <w:r>
        <w:t>第八章 风险评估与应对策略</w:t>
      </w:r>
    </w:p>
    <w:p>
      <w:pPr>
        <w:pStyle w:val="Heading2"/>
      </w:pPr>
      <w:r>
        <w:t>8.1 技术风险与交付风险</w:t>
      </w:r>
    </w:p>
    <w:tbl>
      <w:tblPr>
        <w:tblW w:type="auto" w:w="0"/>
        <w:jc w:val="center"/>
        <w:tblLayout w:type="fixed"/>
        <w:tblLook w:firstColumn="1" w:firstRow="1" w:lastColumn="0" w:lastRow="0" w:noHBand="0" w:noVBand="1" w:val="04A0"/>
      </w:tblPr>
      <w:tblGrid>
        <w:gridCol w:w="1928"/>
        <w:gridCol w:w="3061"/>
        <w:gridCol w:w="4195"/>
      </w:tblGrid>
      <w:tr>
        <w:trPr>
          <w:cantSplit/>
          <w:tblHeader/>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主要风险</w:t>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触发信号</w:t>
            </w:r>
          </w:p>
        </w:tc>
        <w:tc>
          <w:tcPr>
            <w:tcW w:type="dxa" w:w="419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处置方式</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通用化过度或不足</w:t>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行业分支持续增多或共性规则失效</w:t>
            </w:r>
          </w:p>
        </w:tc>
        <w:tc>
          <w:tcPr>
            <w:tcW w:type="dxa" w:w="419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保留行业模块，依据真实第二场景调整抽象</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生产可靠性不足</w:t>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写入异常、数据不一致或恢复失败</w:t>
            </w:r>
          </w:p>
        </w:tc>
        <w:tc>
          <w:tcPr>
            <w:tcW w:type="dxa" w:w="419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限制上线范围，补齐备份恢复和权限验收</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AI输出不可靠</w:t>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错误设施状态、无依据回答</w:t>
            </w:r>
          </w:p>
        </w:tc>
        <w:tc>
          <w:tcPr>
            <w:tcW w:type="dxa" w:w="419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知识与状态核验、拒答和人工转接</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交付成本失控</w:t>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实际工时超过预算20%</w:t>
            </w:r>
          </w:p>
        </w:tc>
        <w:tc>
          <w:tcPr>
            <w:tcW w:type="dxa" w:w="419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停止未签变更，复核报价和功能范围</w:t>
            </w:r>
          </w:p>
        </w:tc>
      </w:tr>
    </w:tbl>
    <w:p>
      <w:pPr>
        <w:spacing w:after="0"/>
      </w:pPr>
    </w:p>
    <w:p>
      <w:pPr>
        <w:ind w:firstLine="420"/>
      </w:pPr>
      <w:r>
        <w:t>景区演示部署目前不等同于生产高可用服务，正式交付前应更换演示账号，完成访问控制、数据备份及恢复演练。校园与社区的前端原型需补齐真实身份、数据库和服务端规则后，才能用于实际业务。真实设备接口和容量指标应逐客户验证。</w:t>
      </w:r>
    </w:p>
    <w:p>
      <w:pPr>
        <w:pStyle w:val="Heading2"/>
      </w:pPr>
      <w:r>
        <w:t>8.2 商业风险与知识产权风险</w:t>
      </w:r>
    </w:p>
    <w:p>
      <w:pPr>
        <w:ind w:firstLine="420"/>
      </w:pPr>
      <w:r>
        <w:t>商业风险主要是预算审批周期长、试点难转付费和定制需求挤占研发。应优先选择负责人明确、业务范围可控且有预算路径的客户；免费演示与有偿实施分开约定。标准合同说明数据责任、验收条件、支持时段和第三方依赖，避免无限期免费维护。</w:t>
      </w:r>
    </w:p>
    <w:p>
      <w:pPr>
        <w:ind w:firstLine="420"/>
      </w:pPr>
      <w:r>
        <w:t>知识产权是商业启动的前置条件。已有答辩材料说明项目包含公司原始项目与团队修改，因此需要核实原始软件、地图素材、字体、图标及第三方组件的许可，并取得必要的商业使用与再分发授权。权属未明确的部分不纳入对外软件许可；必要时重新实现或替换素材。</w:t>
      </w:r>
    </w:p>
    <w:p>
      <w:pPr>
        <w:ind w:firstLine="420"/>
      </w:pPr>
      <w:r>
        <w:t>个人信息与跨客户数据风险通过独立实例、最小权限、日志审计及数据留存管理控制。将客户内容发送至外部AI服务前，须明确数据授权与处理方式。收益测算不包含出售游客、师生或居民数据。</w:t>
      </w:r>
    </w:p>
    <w:p>
      <w:pPr>
        <w:pStyle w:val="Heading2"/>
      </w:pPr>
      <w:r>
        <w:t>8.3 综合风险应对机制</w:t>
      </w:r>
    </w:p>
    <w:p>
      <w:pPr>
        <w:ind w:firstLine="420"/>
      </w:pPr>
      <w:r>
        <w:t>建立风险台账并指定负责人，每周检查高风险事项，每月复核成本与现金。发生数据泄露、严重权限问题或核心业务错误时，立即限制相关入口，保存必要日志，按合同与适用规定通知并修复。现场故障恢复由人工确认数据完整性后再开放业务。</w:t>
      </w:r>
    </w:p>
    <w:p>
      <w:pPr>
        <w:ind w:firstLine="420"/>
      </w:pPr>
      <w:r>
        <w:t>扩张设置经营门槛：连续两个试点具备可复用交付记录、关键缺陷关闭、单项目贡献毛利为正，再增加渠道或新行业。实际成本连续两个月超出预算20%，或应收款超过合同约定期限30日，启动范围、收款和支出复核。</w:t>
      </w:r>
    </w:p>
    <w:p>
      <w:r>
        <w:br w:type="page"/>
      </w:r>
    </w:p>
    <w:p>
      <w:pPr>
        <w:pStyle w:val="Heading1"/>
      </w:pPr>
      <w:r>
        <w:t>第九章 发展规划与实施路线图</w:t>
      </w:r>
    </w:p>
    <w:p>
      <w:pPr>
        <w:pStyle w:val="Heading2"/>
      </w:pPr>
      <w:r>
        <w:t>9.1 首年里程碑与验证指标</w:t>
      </w:r>
    </w:p>
    <w:p>
      <w:pPr>
        <w:ind w:firstLine="420"/>
      </w:pPr>
      <w:r>
        <w:t>M1代表商业化准备正式启动的首月，里程碑按交付证据验收，可根据采购周期调整。先完成授权与需求验证，再建设通用能力；新增行业以真实试点反馈推动，避免三条产品线同时重投入。</w:t>
      </w:r>
    </w:p>
    <w:tbl>
      <w:tblPr>
        <w:tblW w:type="auto" w:w="0"/>
        <w:jc w:val="center"/>
        <w:tblLayout w:type="fixed"/>
        <w:tblLook w:firstColumn="1" w:firstRow="1" w:lastColumn="0" w:lastRow="0" w:noHBand="0" w:noVBand="1" w:val="04A0"/>
      </w:tblPr>
      <w:tblGrid>
        <w:gridCol w:w="1417"/>
        <w:gridCol w:w="2948"/>
        <w:gridCol w:w="4819"/>
      </w:tblGrid>
      <w:tr>
        <w:trPr>
          <w:cantSplit/>
          <w:tblHeader/>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阶段</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重点工作</w:t>
            </w:r>
          </w:p>
        </w:tc>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交付与验证目标</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M1—M2</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授权核验与客户访谈</w:t>
            </w:r>
          </w:p>
        </w:tc>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完成代码素材权属清单、12次有效访谈和共性需求表</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M3—M4</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形成首个通用服务版本</w:t>
            </w:r>
          </w:p>
        </w:tc>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身份、设施、工单、公告持久化；关键流程测试通过</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M5—M6</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完成首个付费试点</w:t>
            </w:r>
          </w:p>
        </w:tc>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1个签约试点，8至12周实施，形成业务与恢复验收记录</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M7—M9</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复制到第二类场景</w:t>
            </w:r>
          </w:p>
        </w:tc>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校园或社区至少1个真实后端试点，测量复用范围和工时</w:t>
            </w:r>
          </w:p>
        </w:tc>
      </w:tr>
      <w:tr>
        <w:trPr>
          <w:cantSplit/>
        </w:trPr>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M10—M12</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固化标准交付</w:t>
            </w:r>
          </w:p>
        </w:tc>
        <w:tc>
          <w:tcPr>
            <w:tcW w:type="dxa" w:w="48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累计3个新增付费项目为目标，形成报价、部署和售后包</w:t>
            </w:r>
          </w:p>
        </w:tc>
      </w:tr>
    </w:tbl>
    <w:p>
      <w:pPr>
        <w:spacing w:after="0"/>
      </w:pPr>
    </w:p>
    <w:p>
      <w:pPr>
        <w:ind w:firstLine="420"/>
      </w:pPr>
      <w:r>
        <w:t>共性模块复用按预先列明的模块清单核对，包括身份、设施、工单、公告、审计及通知；不能用复制代码行数代替复用效果。交付效率以相近范围项目的实际工时比较，目标是在第二次复制时减少重复配置和测试投入，改善比例由记录给出。</w:t>
      </w:r>
    </w:p>
    <w:p>
      <w:pPr>
        <w:pStyle w:val="Heading2"/>
      </w:pPr>
      <w:r>
        <w:t>9.2 中长期技术产品与市场规划</w:t>
      </w:r>
    </w:p>
    <w:p>
      <w:pPr>
        <w:ind w:firstLine="420"/>
      </w:pPr>
      <w:r>
        <w:t>第二年计划完善景区、校园与社区的场景包，在身份、工单与设施等稳定模块上推进版本统一，形成客户升级与回滚机制。销售优先服务首批客户的同集团或同区域项目，在可复用案例基础上引入少量实施伙伴。新增8个标准项目为财务基准目标，需依据第一年转化与交付数据校准。</w:t>
      </w:r>
    </w:p>
    <w:p>
      <w:pPr>
        <w:ind w:firstLine="420"/>
      </w:pPr>
      <w:r>
        <w:t>第三年在累计交付经验支持下，评估共享多租户、更多设备接入、智能知识检索和集团级运营汇总。新增15个标准项目为测算目标，并非合同承诺。主题园区、展馆等新场景仅在现有业务保持服务质量及正向单位经济时开展验证。</w:t>
      </w:r>
    </w:p>
    <w:p>
      <w:pPr>
        <w:ind w:firstLine="420"/>
      </w:pPr>
      <w:r>
        <w:t>长期竞争力拟建立在可复用行业流程、持续积累的异常场景测试集、低返工的部署验收方法和稳定客户服务之上。三维展示与AI问答负责改善体验，商业成效则由客户是否持续使用、是否续费以及交付成本是否可控来证明。</w:t>
      </w:r>
    </w:p>
    <w:p>
      <w:r>
        <w:br w:type="page"/>
      </w:r>
    </w:p>
    <w:p>
      <w:pPr>
        <w:pStyle w:val="Heading1"/>
      </w:pPr>
      <w:r>
        <w:t>附录一 客户需求调研问卷</w:t>
      </w:r>
    </w:p>
    <w:p>
      <w:pPr>
        <w:ind w:firstLine="420"/>
      </w:pPr>
      <w:r>
        <w:t>调研对象为景区运营、学校后勤或信息化、物业管理及一线工作人员。本问卷用于产品与服务设计，联系方式可自愿填写；如需访谈录音、个人信息或系统数据，应另行说明用途并取得相应授权。预计用时5至8分钟。</w:t>
      </w:r>
    </w:p>
    <w:p>
      <w:pPr>
        <w:pStyle w:val="Heading2"/>
        <w:spacing w:before="100" w:after="60"/>
      </w:pPr>
      <w:r>
        <w:t>1 所属场景与管理规模</w:t>
      </w:r>
    </w:p>
    <w:p>
      <w:pPr>
        <w:ind w:firstLine="420"/>
      </w:pPr>
      <w:r>
        <w:t>景区／校园／社区／其他；管理单元数量、服务人数、设施数量分别为多少。</w:t>
      </w:r>
    </w:p>
    <w:p>
      <w:pPr>
        <w:pStyle w:val="Heading2"/>
        <w:spacing w:before="100" w:after="60"/>
      </w:pPr>
      <w:r>
        <w:t>2 主要岗位与采购参与方式</w:t>
      </w:r>
    </w:p>
    <w:p>
      <w:pPr>
        <w:ind w:firstLine="420"/>
      </w:pPr>
      <w:r>
        <w:t>运营负责人／信息化／一线工作人员／采购财务／其他；是否参与预算和验收。</w:t>
      </w:r>
    </w:p>
    <w:p>
      <w:pPr>
        <w:pStyle w:val="Heading2"/>
        <w:spacing w:before="100" w:after="60"/>
      </w:pPr>
      <w:r>
        <w:t>3 当前使用的业务工具</w:t>
      </w:r>
    </w:p>
    <w:p>
      <w:pPr>
        <w:ind w:firstLine="420"/>
      </w:pPr>
      <w:r>
        <w:t>工作群／表格台账／独立工单系统／综合平台／其他；哪些环节仍需重复录入。</w:t>
      </w:r>
    </w:p>
    <w:p>
      <w:pPr>
        <w:pStyle w:val="Heading2"/>
        <w:spacing w:before="100" w:after="60"/>
      </w:pPr>
      <w:r>
        <w:t>4 最需要改进的三个问题</w:t>
      </w:r>
    </w:p>
    <w:p>
      <w:pPr>
        <w:ind w:firstLine="420"/>
      </w:pPr>
      <w:r>
        <w:t>服务入口、信息发布、设施巡检、报修处置、预约冲突、数据统计或其他，并按紧迫程度排序。</w:t>
      </w:r>
    </w:p>
    <w:p>
      <w:pPr>
        <w:pStyle w:val="Heading2"/>
        <w:spacing w:before="100" w:after="60"/>
      </w:pPr>
      <w:r>
        <w:t>5 最近一次典型业务</w:t>
      </w:r>
    </w:p>
    <w:p>
      <w:pPr>
        <w:ind w:firstLine="420"/>
      </w:pPr>
      <w:r>
        <w:t>描述一次报修或服务请求的完整过程、涉及岗位、等待时间和未解决的问题。</w:t>
      </w:r>
    </w:p>
    <w:p>
      <w:pPr>
        <w:pStyle w:val="Heading2"/>
        <w:spacing w:before="100" w:after="60"/>
      </w:pPr>
      <w:r>
        <w:t>6 可提供的验证数据</w:t>
      </w:r>
    </w:p>
    <w:p>
      <w:pPr>
        <w:ind w:firstLine="420"/>
      </w:pPr>
      <w:r>
        <w:t>是否可提供脱敏设施清单、历史工单时间、角色清单和接口文档；授权由谁负责。</w:t>
      </w:r>
    </w:p>
    <w:p>
      <w:pPr>
        <w:pStyle w:val="Heading2"/>
        <w:spacing w:before="100" w:after="60"/>
      </w:pPr>
      <w:r>
        <w:t>7 必须接入的已有系统</w:t>
      </w:r>
    </w:p>
    <w:p>
      <w:pPr>
        <w:ind w:firstLine="420"/>
      </w:pPr>
      <w:r>
        <w:t>身份、门禁、支付、设备、物业或校园平台；接口提供方、收费和配合周期。</w:t>
      </w:r>
    </w:p>
    <w:p>
      <w:pPr>
        <w:pStyle w:val="Heading2"/>
        <w:spacing w:before="100" w:after="60"/>
      </w:pPr>
      <w:r>
        <w:t>8 部署与服务要求</w:t>
      </w:r>
    </w:p>
    <w:p>
      <w:pPr>
        <w:ind w:firstLine="420"/>
      </w:pPr>
      <w:r>
        <w:t>独立云部署／本地部署／尚未确定；网络限制、支持时段和恢复要求。</w:t>
      </w:r>
    </w:p>
    <w:p>
      <w:pPr>
        <w:pStyle w:val="Heading2"/>
        <w:spacing w:before="100" w:after="60"/>
      </w:pPr>
      <w:r>
        <w:t>9 预算与采购条件</w:t>
      </w:r>
    </w:p>
    <w:p>
      <w:pPr>
        <w:ind w:firstLine="420"/>
      </w:pPr>
      <w:r>
        <w:t>首年预算可选3万元以下／3至7万元／7至15万元／15万元以上／未确定；预算来源和审批周期。</w:t>
      </w:r>
    </w:p>
    <w:p>
      <w:pPr>
        <w:pStyle w:val="Heading2"/>
        <w:spacing w:before="100" w:after="60"/>
      </w:pPr>
      <w:r>
        <w:t>10 对规划报价的反馈</w:t>
      </w:r>
    </w:p>
    <w:p>
      <w:pPr>
        <w:ind w:firstLine="420"/>
      </w:pPr>
      <w:r>
        <w:t>对首年7万元、次年3万元标准服务的接受程度；必须包含的功能，以及愿意付费的实际价值。</w:t>
      </w:r>
    </w:p>
    <w:p>
      <w:pPr>
        <w:pStyle w:val="Heading2"/>
        <w:spacing w:before="100" w:after="60"/>
      </w:pPr>
      <w:r>
        <w:t>11 试点意愿与验收标准</w:t>
      </w:r>
    </w:p>
    <w:p>
      <w:pPr>
        <w:ind w:firstLine="420"/>
      </w:pPr>
      <w:r>
        <w:t>是否愿意开展8至12周试点；期望改善的具体流程、可用基线、验收负责人。</w:t>
      </w:r>
    </w:p>
    <w:p>
      <w:pPr>
        <w:pStyle w:val="Heading2"/>
        <w:spacing w:before="100" w:after="60"/>
      </w:pPr>
      <w:r>
        <w:t>12 续费与扩展条件</w:t>
      </w:r>
    </w:p>
    <w:p>
      <w:pPr>
        <w:ind w:firstLine="420"/>
      </w:pPr>
      <w:r>
        <w:t>出现什么结果会续费；哪些问题会放弃；是否存在其他管理单元的复制机会。</w:t>
      </w:r>
    </w:p>
    <w:p>
      <w:r>
        <w:br w:type="page"/>
      </w:r>
    </w:p>
    <w:p>
      <w:pPr>
        <w:pStyle w:val="Heading1"/>
      </w:pPr>
      <w:r>
        <w:t>附录二 资料依据与测算口径</w:t>
      </w:r>
    </w:p>
    <w:p>
      <w:pPr>
        <w:ind w:firstLine="420"/>
      </w:pPr>
      <w:r>
        <w:t>项目能力判断以工作区已有工程和实施材料为依据，基线整理日期为2026年9月26日。较新的实际实施记录优先于早期设计目标；业务方案描述与验收记录分别用于说明规划和已记录成果。</w:t>
      </w:r>
    </w:p>
    <w:tbl>
      <w:tblPr>
        <w:tblW w:type="auto" w:w="0"/>
        <w:jc w:val="center"/>
        <w:tblLayout w:type="fixed"/>
        <w:tblLook w:firstColumn="1" w:firstRow="1" w:lastColumn="0" w:lastRow="0" w:noHBand="0" w:noVBand="1" w:val="04A0"/>
      </w:tblPr>
      <w:tblGrid>
        <w:gridCol w:w="5102"/>
        <w:gridCol w:w="4082"/>
      </w:tblGrid>
      <w:tr>
        <w:trPr>
          <w:cantSplit/>
          <w:tblHeader/>
        </w:trPr>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资料</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line="280" w:lineRule="exact" w:after="40" w:before="40"/>
            </w:pPr>
            <w:r>
              <w:rPr>
                <w:b/>
                <w:sz w:val="19"/>
              </w:rPr>
              <w:t>对应依据</w:t>
            </w:r>
          </w:p>
        </w:tc>
      </w:tr>
      <w:tr>
        <w:trPr>
          <w:cantSplit/>
        </w:trPr>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工作区 README.md</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三个场景与模板的整体关系</w:t>
            </w:r>
          </w:p>
        </w:tc>
      </w:tr>
      <w:tr>
        <w:trPr>
          <w:cantSplit/>
        </w:trPr>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qinglan-scenic/README.md 与 docs/项目详解.md</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景区架构、六端功能及技术边界</w:t>
            </w:r>
          </w:p>
        </w:tc>
      </w:tr>
      <w:tr>
        <w:trPr>
          <w:cantSplit/>
        </w:trPr>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qinglan-scenic/docs/部署单入口演示部署-2026-09-24.md</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较新公网演示部署和跨端验证记录</w:t>
            </w:r>
          </w:p>
        </w:tc>
      </w:tr>
      <w:tr>
        <w:trPr>
          <w:cantSplit/>
        </w:trPr>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frontend-template/docs/模板替换指南.md 与 验收记录.md</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场景配置、独立复制及前端测试范围</w:t>
            </w:r>
          </w:p>
        </w:tc>
      </w:tr>
      <w:tr>
        <w:trPr>
          <w:cantSplit/>
        </w:trPr>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yunqi-community/README.md 与 zhixing-campus/README.md</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两类延伸场景的五端原型与后端欠项</w:t>
            </w:r>
          </w:p>
        </w:tc>
      </w:tr>
      <w:tr>
        <w:trPr>
          <w:cantSplit/>
        </w:trPr>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qinglan-scenic/docs/团队答辩大纲.md</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岗位分工与原始项目来源说明</w:t>
            </w:r>
          </w:p>
        </w:tc>
      </w:tr>
      <w:tr>
        <w:trPr>
          <w:cantSplit/>
        </w:trPr>
        <w:tc>
          <w:tcPr>
            <w:tcW w:type="dxa" w:w="51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qinglan-scenic/docs/智慧景区测试驱动开发工作流-产品方案.md</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line="280" w:lineRule="exact" w:after="40" w:before="40"/>
            </w:pPr>
            <w:r>
              <w:rPr>
                <w:b w:val="0"/>
                <w:sz w:val="19"/>
              </w:rPr>
              <w:t>场景仿真与发布验证的产品化方向</w:t>
            </w:r>
          </w:p>
        </w:tc>
      </w:tr>
    </w:tbl>
    <w:p>
      <w:pPr>
        <w:spacing w:after="0"/>
      </w:pPr>
    </w:p>
    <w:p>
      <w:pPr>
        <w:ind w:firstLine="420"/>
      </w:pPr>
      <w:r>
        <w:t>商业假设包括标准项目范围、7万元首年价格、3万元年服务价格、80%续费率、获客数量、直接交付成本和固定费用。上述假设应在客户访谈、真实报价与工时记录形成后替换，按月滚动更新。行业政策仅作为方向性背景，不作为已获补贴、合作或采购承诺。</w:t>
      </w:r>
    </w:p>
    <w:p>
      <w:pPr>
        <w:ind w:firstLine="420"/>
      </w:pPr>
      <w:r>
        <w:t>财务口径采用完整服务周期的简化经营预算。客户数为期望值；结果按万元保留两位小数，计算使用未四舍五入的原数。实际财务处理应按合同履约、税费、回款与会计政策调整，另行编制现金流表。资金用途表为筹资用途，不与成本表重复相加。</w:t>
      </w:r>
    </w:p>
    <w:p>
      <w:pPr>
        <w:ind w:firstLine="420"/>
      </w:pPr>
      <w:r>
        <w:t>正式商务使用前，应完成商用授权及品牌名称核验，明确签约主体与团队全名，取得试点客户书面许可，并将报价、服务额度和生产验收条件写入合同附件。</w:t>
      </w:r>
    </w:p>
    <w:sectPr w:rsidR="00FC693F" w:rsidRPr="0006063C" w:rsidSect="00034616">
      <w:footerReference w:type="default" r:id="rId9"/>
      <w:pgSz w:w="11906" w:h="16838"/>
      <w:pgMar w:top="1247" w:right="1361" w:bottom="1191"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40" w:lineRule="exact"/>
    </w:pPr>
    <w:rPr>
      <w:rFonts w:ascii="Arial Unicode MS" w:hAnsi="Arial Unicode MS" w:eastAsia="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468" w:lineRule="exact"/>
      <w:outlineLvl w:val="0"/>
    </w:pPr>
    <w:rPr>
      <w:rFonts w:asciiTheme="majorHAnsi" w:eastAsiaTheme="majorEastAsia" w:hAnsiTheme="majorHAnsi" w:cstheme="majorBidi" w:ascii="Arial Unicode MS" w:hAnsi="Arial Unicode MS" w:eastAsia="Arial Unicode M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338" w:lineRule="exact"/>
      <w:outlineLvl w:val="1"/>
    </w:pPr>
    <w:rPr>
      <w:rFonts w:asciiTheme="majorHAnsi" w:eastAsiaTheme="majorEastAsia" w:hAnsiTheme="majorHAnsi" w:cstheme="majorBidi" w:ascii="Arial Unicode MS" w:hAnsi="Arial Unicode MS"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Unicode MS" w:hAnsi="Arial Unicode MS" w:eastAsia="Arial Unicode M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676" w:lineRule="exact" w:before="200"/>
      <w:contextualSpacing/>
    </w:pPr>
    <w:rPr>
      <w:rFonts w:asciiTheme="majorHAnsi" w:eastAsiaTheme="majorEastAsia" w:hAnsiTheme="majorHAnsi" w:cstheme="majorBidi" w:ascii="Arial Unicode MS" w:hAnsi="Arial Unicode MS" w:eastAsia="Arial Unicode MS"/>
      <w:b/>
      <w:i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before="200" w:line="390" w:lineRule="exact"/>
    </w:pPr>
    <w:rPr>
      <w:rFonts w:asciiTheme="majorHAnsi" w:eastAsiaTheme="majorEastAsia" w:hAnsiTheme="majorHAnsi" w:cstheme="majorBidi" w:ascii="Arial Unicode MS" w:hAnsi="Arial Unicode MS" w:eastAsia="Arial Unicode MS"/>
      <w:b/>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多场景智慧运营通用解决方案商业计划书</dc:title>
  <dc:subject>景区 校园 社区</dc:subject>
  <dc:creator>项目团队</dc:creator>
  <cp:keywords/>
  <dc:description>generated by python-docx</dc:description>
  <cp:lastModifiedBy/>
  <cp:revision>1</cp:revision>
  <dcterms:created xsi:type="dcterms:W3CDTF">2013-12-23T23:15:00Z</dcterms:created>
  <dcterms:modified xsi:type="dcterms:W3CDTF">2013-12-23T23:15:00Z</dcterms:modified>
  <cp:category/>
</cp:coreProperties>
</file>