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EC57C">
      <w:pPr>
        <w:pStyle w:val="31"/>
        <w:widowControl/>
        <w:spacing w:before="0" w:line="300" w:lineRule="exact"/>
      </w:pPr>
      <w:r>
        <w:rPr>
          <w:rFonts w:ascii="Hiragino Sans GB" w:hAnsi="Hiragino Sans GB" w:eastAsia="Hiragino Sans GB"/>
          <w:color w:val="000000"/>
        </w:rPr>
        <w:t>省赛 PPT 排版大纲</w:t>
      </w:r>
    </w:p>
    <w:p w14:paraId="122A95D7">
      <w:pPr>
        <w:widowControl/>
        <w:spacing w:line="300" w:lineRule="exact"/>
      </w:pPr>
      <w:r>
        <w:rPr>
          <w:rFonts w:ascii="Hiragino Sans GB" w:hAnsi="Hiragino Sans GB" w:eastAsia="Hiragino Sans GB"/>
        </w:rPr>
        <w:t>纯讲按完整项目展开：背景与问题、总体方案、成果与创新、价值与展望；技术演示按一次小迭代展开：确认需求、查询、接口、界面、测试验收。学校与企业共同启动项目，学生主导开发，导师和企业提供指导与支持。纯讲共12分钟，实操与随操作讲解共43分钟，另留5分钟机动。两套叙事在需求、设计和结果处衔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1292"/>
        <w:gridCol w:w="1574"/>
        <w:gridCol w:w="5429"/>
      </w:tblGrid>
      <w:tr w14:paraId="298E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016" w:type="dxa"/>
            <w:shd w:val="clear" w:color="auto" w:fill="2B756D"/>
            <w:vAlign w:val="center"/>
          </w:tcPr>
          <w:p w14:paraId="5EF7B039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w="1296" w:type="dxa"/>
            <w:shd w:val="clear" w:color="auto" w:fill="2B756D"/>
            <w:vAlign w:val="center"/>
          </w:tcPr>
          <w:p w14:paraId="1D1F1CD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PPT页码</w:t>
            </w:r>
          </w:p>
        </w:tc>
        <w:tc>
          <w:tcPr>
            <w:tcW w:w="1584" w:type="dxa"/>
            <w:shd w:val="clear" w:color="auto" w:fill="2B756D"/>
            <w:vAlign w:val="center"/>
          </w:tcPr>
          <w:p w14:paraId="563B36D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现场时段</w:t>
            </w:r>
          </w:p>
        </w:tc>
        <w:tc>
          <w:tcPr>
            <w:tcW w:w="5472" w:type="dxa"/>
            <w:shd w:val="clear" w:color="auto" w:fill="2B756D"/>
            <w:vAlign w:val="center"/>
          </w:tcPr>
          <w:p w14:paraId="3D4BE5AF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讲述重点</w:t>
            </w:r>
          </w:p>
        </w:tc>
      </w:tr>
      <w:tr w14:paraId="2EB2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shd w:val="clear" w:color="auto" w:fill="F7FAF9"/>
            <w:vAlign w:val="center"/>
          </w:tcPr>
          <w:p w14:paraId="1A7D9E0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开场与定位</w:t>
            </w:r>
          </w:p>
        </w:tc>
        <w:tc>
          <w:tcPr>
            <w:tcW w:w="1296" w:type="dxa"/>
            <w:shd w:val="clear" w:color="auto" w:fill="F7FAF9"/>
            <w:vAlign w:val="center"/>
          </w:tcPr>
          <w:p w14:paraId="45F2B6F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1—5</w:t>
            </w:r>
          </w:p>
        </w:tc>
        <w:tc>
          <w:tcPr>
            <w:tcW w:w="1584" w:type="dxa"/>
            <w:shd w:val="clear" w:color="auto" w:fill="F7FAF9"/>
            <w:vAlign w:val="center"/>
          </w:tcPr>
          <w:p w14:paraId="7E11E159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0—5分钟</w:t>
            </w:r>
          </w:p>
        </w:tc>
        <w:tc>
          <w:tcPr>
            <w:tcW w:w="5472" w:type="dxa"/>
            <w:shd w:val="clear" w:color="auto" w:fill="F7FAF9"/>
            <w:vAlign w:val="center"/>
          </w:tcPr>
          <w:p w14:paraId="4337F231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沙盘与系统全貌、团队分工、项目问题</w:t>
            </w:r>
          </w:p>
        </w:tc>
      </w:tr>
      <w:tr w14:paraId="6755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vAlign w:val="center"/>
          </w:tcPr>
          <w:p w14:paraId="0F93BF2B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总体设计</w:t>
            </w:r>
          </w:p>
        </w:tc>
        <w:tc>
          <w:tcPr>
            <w:tcW w:w="1296" w:type="dxa"/>
            <w:vAlign w:val="center"/>
          </w:tcPr>
          <w:p w14:paraId="444194CF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6—7</w:t>
            </w:r>
          </w:p>
        </w:tc>
        <w:tc>
          <w:tcPr>
            <w:tcW w:w="1584" w:type="dxa"/>
            <w:vAlign w:val="center"/>
          </w:tcPr>
          <w:p w14:paraId="602F4979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5—8分钟</w:t>
            </w:r>
          </w:p>
        </w:tc>
        <w:tc>
          <w:tcPr>
            <w:tcW w:w="5472" w:type="dxa"/>
            <w:vAlign w:val="center"/>
          </w:tcPr>
          <w:p w14:paraId="2486C7F6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架构选择与已有能力，随后检查基线数据</w:t>
            </w:r>
          </w:p>
        </w:tc>
      </w:tr>
      <w:tr w14:paraId="4AFF3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shd w:val="clear" w:color="auto" w:fill="F7FAF9"/>
            <w:vAlign w:val="center"/>
          </w:tcPr>
          <w:p w14:paraId="10A7495F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迭代设计</w:t>
            </w:r>
          </w:p>
        </w:tc>
        <w:tc>
          <w:tcPr>
            <w:tcW w:w="1296" w:type="dxa"/>
            <w:shd w:val="clear" w:color="auto" w:fill="F7FAF9"/>
            <w:vAlign w:val="center"/>
          </w:tcPr>
          <w:p w14:paraId="53A9C69E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8</w:t>
            </w:r>
          </w:p>
        </w:tc>
        <w:tc>
          <w:tcPr>
            <w:tcW w:w="1584" w:type="dxa"/>
            <w:shd w:val="clear" w:color="auto" w:fill="F7FAF9"/>
            <w:vAlign w:val="center"/>
          </w:tcPr>
          <w:p w14:paraId="27B58AA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12—14分钟</w:t>
            </w:r>
          </w:p>
        </w:tc>
        <w:tc>
          <w:tcPr>
            <w:tcW w:w="5472" w:type="dxa"/>
            <w:shd w:val="clear" w:color="auto" w:fill="F7FAF9"/>
            <w:vAlign w:val="center"/>
          </w:tcPr>
          <w:p w14:paraId="7B7436B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查询、接口、界面和测试的交接约定</w:t>
            </w:r>
          </w:p>
        </w:tc>
      </w:tr>
      <w:tr w14:paraId="6F51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vAlign w:val="center"/>
          </w:tcPr>
          <w:p w14:paraId="0FD3D05C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成果与展望</w:t>
            </w:r>
          </w:p>
        </w:tc>
        <w:tc>
          <w:tcPr>
            <w:tcW w:w="1296" w:type="dxa"/>
            <w:vAlign w:val="center"/>
          </w:tcPr>
          <w:p w14:paraId="7D93089B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9—12</w:t>
            </w:r>
          </w:p>
        </w:tc>
        <w:tc>
          <w:tcPr>
            <w:tcW w:w="1584" w:type="dxa"/>
            <w:vAlign w:val="center"/>
          </w:tcPr>
          <w:p w14:paraId="789C1FB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53—55分钟</w:t>
            </w:r>
          </w:p>
        </w:tc>
        <w:tc>
          <w:tcPr>
            <w:tcW w:w="5472" w:type="dxa"/>
            <w:vAlign w:val="center"/>
          </w:tcPr>
          <w:p w14:paraId="641DE7DE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已验收结果、技术价值、未来路线与收尾</w:t>
            </w:r>
          </w:p>
        </w:tc>
      </w:tr>
      <w:tr w14:paraId="14B5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shd w:val="clear" w:color="auto" w:fill="F7FAF9"/>
            <w:vAlign w:val="center"/>
          </w:tcPr>
          <w:p w14:paraId="3BFC6552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纯讲合计</w:t>
            </w:r>
          </w:p>
        </w:tc>
        <w:tc>
          <w:tcPr>
            <w:tcW w:w="1296" w:type="dxa"/>
            <w:shd w:val="clear" w:color="auto" w:fill="F7FAF9"/>
            <w:vAlign w:val="center"/>
          </w:tcPr>
          <w:p w14:paraId="286714CE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1—12</w:t>
            </w:r>
          </w:p>
        </w:tc>
        <w:tc>
          <w:tcPr>
            <w:tcW w:w="1584" w:type="dxa"/>
            <w:shd w:val="clear" w:color="auto" w:fill="F7FAF9"/>
            <w:vAlign w:val="center"/>
          </w:tcPr>
          <w:p w14:paraId="14D5B101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12分钟</w:t>
            </w:r>
          </w:p>
        </w:tc>
        <w:tc>
          <w:tcPr>
            <w:tcW w:w="5472" w:type="dxa"/>
            <w:shd w:val="clear" w:color="auto" w:fill="F7FAF9"/>
            <w:vAlign w:val="center"/>
          </w:tcPr>
          <w:p w14:paraId="6EF1B9DE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其余43分钟为实操与随操作讲解；55—60分钟机动</w:t>
            </w:r>
          </w:p>
        </w:tc>
      </w:tr>
    </w:tbl>
    <w:p w14:paraId="4828A129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第1页  封面：青岚山境智慧景区一体化解决方案</w:t>
      </w:r>
    </w:p>
    <w:p w14:paraId="3367B5A0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建议时长：0:30  |  版式：左文右图的封面版式</w:t>
      </w:r>
    </w:p>
    <w:p w14:paraId="47F3F6E3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青岚山境是学生团队开发的景区多角色协同系统，今天展示其中一次小迭代。</w:t>
      </w:r>
    </w:p>
    <w:p w14:paraId="2DAB5683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左侧放标题、副标题、团队信息；右侧放青岚山境山水、三维沙盘或游客大屏画面。</w:t>
      </w:r>
    </w:p>
    <w:p w14:paraId="57DD5758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主色采用青绿色，珊瑚红只用于强调告警、重点数据和关键节点。</w:t>
      </w:r>
    </w:p>
    <w:p w14:paraId="24708E3D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开场话术：“游客提出一件求助后，谁来接手、申请有没有获批、最终怎样处理？我们围绕这些岗位之间的信息传递开发了青岚山境，今天继续解决管理者集中核对进展的问题。”</w:t>
      </w:r>
    </w:p>
    <w:p w14:paraId="20909406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第2页  成员介绍与汇报主线</w:t>
      </w:r>
    </w:p>
    <w:p w14:paraId="3C644113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建议时长：0:45  |  版式：上方四人分工卡片，下方一条叙事路线</w:t>
      </w:r>
      <w:r>
        <w:rPr>
          <w:rFonts w:hint="eastAsia" w:ascii="Hiragino Sans GB" w:hAnsi="Hiragino Sans GB" w:eastAsia="Hiragino Sans GB"/>
          <w:color w:val="D96B5F"/>
          <w:sz w:val="18"/>
          <w:lang w:val="en-US" w:eastAsia="zh-CN"/>
        </w:rPr>
      </w:r>
      <w:r>
        <w:rPr>
          <w:rFonts w:ascii="Hiragino Sans GB" w:hAnsi="Hiragino Sans GB" w:eastAsia="Hiragino Sans GB"/>
          <w:color w:val="D96B5F"/>
          <w:sz w:val="18"/>
        </w:rPr>
      </w:r>
    </w:p>
    <w:p w14:paraId="0ADF823D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四人按数据、接口、界面、测试协作，每次交接都有可检查的产出。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289"/>
        <w:gridCol w:w="6290"/>
      </w:tblGrid>
      <w:tr w14:paraId="00028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1728" w:type="dxa"/>
            <w:shd w:val="clear" w:color="auto" w:fill="2B756D"/>
            <w:vAlign w:val="center"/>
          </w:tcPr>
          <w:p w14:paraId="60C60AA6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成员</w:t>
            </w:r>
          </w:p>
        </w:tc>
        <w:tc>
          <w:tcPr>
            <w:tcW w:w="2304" w:type="dxa"/>
            <w:shd w:val="clear" w:color="auto" w:fill="2B756D"/>
            <w:vAlign w:val="center"/>
          </w:tcPr>
          <w:p w14:paraId="080A60EA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本次岗位</w:t>
            </w:r>
          </w:p>
        </w:tc>
        <w:tc>
          <w:tcPr>
            <w:tcW w:w="6336" w:type="dxa"/>
            <w:shd w:val="clear" w:color="auto" w:fill="2B756D"/>
            <w:vAlign w:val="center"/>
          </w:tcPr>
          <w:p w14:paraId="3EE81E0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操作与交付</w:t>
            </w:r>
          </w:p>
        </w:tc>
      </w:tr>
      <w:tr w14:paraId="3B8B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shd w:val="clear" w:color="auto" w:fill="F7FAF9"/>
            <w:vAlign w:val="center"/>
          </w:tcPr>
          <w:p w14:paraId="4A4E63FB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1号</w:t>
            </w:r>
          </w:p>
        </w:tc>
        <w:tc>
          <w:tcPr>
            <w:tcW w:w="2304" w:type="dxa"/>
            <w:shd w:val="clear" w:color="auto" w:fill="F7FAF9"/>
            <w:vAlign w:val="center"/>
          </w:tcPr>
          <w:p w14:paraId="7C612C4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主讲与测试</w:t>
            </w:r>
          </w:p>
        </w:tc>
        <w:tc>
          <w:tcPr>
            <w:tcW w:w="6336" w:type="dxa"/>
            <w:shd w:val="clear" w:color="auto" w:fill="F7FAF9"/>
            <w:vAlign w:val="center"/>
          </w:tcPr>
          <w:p w14:paraId="29AE4CF9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讲述需求与验收条件；补充固定断言，执行接口与集成验收，报告结果</w:t>
            </w:r>
          </w:p>
        </w:tc>
      </w:tr>
      <w:tr w14:paraId="1A2D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vAlign w:val="center"/>
          </w:tcPr>
          <w:p w14:paraId="5EBCA75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2号</w:t>
            </w:r>
          </w:p>
        </w:tc>
        <w:tc>
          <w:tcPr>
            <w:tcW w:w="2304" w:type="dxa"/>
            <w:vAlign w:val="center"/>
          </w:tcPr>
          <w:p w14:paraId="2419ED33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数据库</w:t>
            </w:r>
          </w:p>
        </w:tc>
        <w:tc>
          <w:tcPr>
            <w:tcW w:w="6336" w:type="dxa"/>
            <w:vAlign w:val="center"/>
          </w:tcPr>
          <w:p w14:paraId="18C07989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编写参数化关联查询，核对聚合计数与运行隔离，交付查询和样例结果</w:t>
            </w:r>
          </w:p>
        </w:tc>
      </w:tr>
      <w:tr w14:paraId="16C4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shd w:val="clear" w:color="auto" w:fill="F7FAF9"/>
            <w:vAlign w:val="center"/>
          </w:tcPr>
          <w:p w14:paraId="14A7D72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3号</w:t>
            </w:r>
          </w:p>
        </w:tc>
        <w:tc>
          <w:tcPr>
            <w:tcW w:w="2304" w:type="dxa"/>
            <w:shd w:val="clear" w:color="auto" w:fill="F7FAF9"/>
            <w:vAlign w:val="center"/>
          </w:tcPr>
          <w:p w14:paraId="1F57140E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后端与集成</w:t>
            </w:r>
          </w:p>
        </w:tc>
        <w:tc>
          <w:tcPr>
            <w:tcW w:w="6336" w:type="dxa"/>
            <w:shd w:val="clear" w:color="auto" w:fill="F7FAF9"/>
            <w:vAlign w:val="center"/>
          </w:tcPr>
          <w:p w14:paraId="220F356C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接入查询、鉴权与错误处理；交付接口响应，维护统一集成运行环境</w:t>
            </w:r>
          </w:p>
        </w:tc>
      </w:tr>
      <w:tr w14:paraId="277D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28" w:type="dxa"/>
            <w:vAlign w:val="center"/>
          </w:tcPr>
          <w:p w14:paraId="1ED9B5F4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4号</w:t>
            </w:r>
          </w:p>
        </w:tc>
        <w:tc>
          <w:tcPr>
            <w:tcW w:w="2304" w:type="dxa"/>
            <w:vAlign w:val="center"/>
          </w:tcPr>
          <w:p w14:paraId="5E2F30A6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前端</w:t>
            </w:r>
          </w:p>
        </w:tc>
        <w:tc>
          <w:tcPr>
            <w:tcW w:w="6336" w:type="dxa"/>
            <w:vAlign w:val="center"/>
          </w:tcPr>
          <w:p w14:paraId="05433028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接入真实接口，实现清单、筛选、详情和错误提示，交付可验证页面</w:t>
            </w:r>
          </w:p>
        </w:tc>
      </w:tr>
    </w:tbl>
    <w:p w14:paraId="367BAA40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纯讲路线：行业背景 → 项目问题 → 总体方案 → 成果创新 → 价值展望。技术演示另按需求确认、开发交接和集成验收推进，第8页负责衔接。</w:t>
      </w:r>
    </w:p>
    <w:p w14:paraId="7C8979E5">
      <w:pPr>
        <w:keepNext/>
        <w:pageBreakBefore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第3页  项目定位：六端协同的一体化平台</w:t>
      </w:r>
    </w:p>
    <w:p w14:paraId="40BF30BF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建议时长：1:00  |  版式：中心平台 + 六端环绕</w:t>
      </w:r>
    </w:p>
    <w:p w14:paraId="12B92C4B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六个操作端围绕共享业务记录工作，各岗位读取自己需要的信息。</w:t>
      </w:r>
    </w:p>
    <w:p w14:paraId="0D2A6945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六端：游客大屏、园方运营大屏、手机游客端、前线处置终端、管理员后台、演示控制端。</w:t>
      </w:r>
    </w:p>
    <w:p w14:paraId="0BD65210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统一后端、统一数据、统一运行时钟、统一业务规则。</w:t>
      </w:r>
    </w:p>
    <w:p w14:paraId="081BB2D1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底部结论：系统已有多端业务基础，本次由学生团队增加面向管理者的统一查询和跟进视图。</w:t>
      </w:r>
    </w:p>
    <w:p w14:paraId="2F19C0B3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第4页  行业背景：政策与技术共同推动智慧旅游</w:t>
      </w:r>
    </w:p>
    <w:p w14:paraId="1D6086F6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建议时长：0:45  |  版式：左侧政策时间线，右侧项目响应</w:t>
      </w:r>
    </w:p>
    <w:p w14:paraId="276AD6CD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智慧旅游建设需要信息共享和多岗位协作；政策提供背景，项目用具体问题检验技术方案。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3575"/>
        <w:gridCol w:w="3575"/>
      </w:tblGrid>
      <w:tr w14:paraId="6D9A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3168" w:type="dxa"/>
            <w:shd w:val="clear" w:color="auto" w:fill="2B756D"/>
            <w:vAlign w:val="center"/>
          </w:tcPr>
          <w:p w14:paraId="3762746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政策依据</w:t>
            </w:r>
          </w:p>
        </w:tc>
        <w:tc>
          <w:tcPr>
            <w:tcW w:w="3600" w:type="dxa"/>
            <w:shd w:val="clear" w:color="auto" w:fill="2B756D"/>
            <w:vAlign w:val="center"/>
          </w:tcPr>
          <w:p w14:paraId="495E552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政策关键词</w:t>
            </w:r>
          </w:p>
        </w:tc>
        <w:tc>
          <w:tcPr>
            <w:tcW w:w="3600" w:type="dxa"/>
            <w:shd w:val="clear" w:color="auto" w:fill="2B756D"/>
            <w:vAlign w:val="center"/>
          </w:tcPr>
          <w:p w14:paraId="728E81B2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项目响应</w:t>
            </w:r>
          </w:p>
        </w:tc>
      </w:tr>
      <w:tr w14:paraId="3FE2A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68" w:type="dxa"/>
            <w:shd w:val="clear" w:color="auto" w:fill="F7FAF9"/>
            <w:vAlign w:val="center"/>
          </w:tcPr>
          <w:p w14:paraId="670FB8DB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“十四五”旅游业发展规划</w:t>
            </w:r>
          </w:p>
        </w:tc>
        <w:tc>
          <w:tcPr>
            <w:tcW w:w="3600" w:type="dxa"/>
            <w:shd w:val="clear" w:color="auto" w:fill="F7FAF9"/>
            <w:vAlign w:val="center"/>
          </w:tcPr>
          <w:p w14:paraId="6DA97E73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预约错峰、客流监测、数据平台、科学分流</w:t>
            </w:r>
          </w:p>
        </w:tc>
        <w:tc>
          <w:tcPr>
            <w:tcW w:w="3600" w:type="dxa"/>
            <w:shd w:val="clear" w:color="auto" w:fill="F7FAF9"/>
            <w:vAlign w:val="center"/>
          </w:tcPr>
          <w:p w14:paraId="7637A49A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预约、停车、客流、设施状态与运行大屏</w:t>
            </w:r>
          </w:p>
        </w:tc>
      </w:tr>
      <w:tr w14:paraId="7DF3B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68" w:type="dxa"/>
            <w:vAlign w:val="center"/>
          </w:tcPr>
          <w:p w14:paraId="13F25B53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智慧旅游创新发展行动计划</w:t>
            </w:r>
          </w:p>
        </w:tc>
        <w:tc>
          <w:tcPr>
            <w:tcW w:w="3600" w:type="dxa"/>
            <w:vAlign w:val="center"/>
          </w:tcPr>
          <w:p w14:paraId="6FDC5A9E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数字化转型、AI导览、应急响应、数据安全</w:t>
            </w:r>
          </w:p>
        </w:tc>
        <w:tc>
          <w:tcPr>
            <w:tcW w:w="3600" w:type="dxa"/>
            <w:vAlign w:val="center"/>
          </w:tcPr>
          <w:p w14:paraId="0E0FE5E7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AI问答、多端服务、告警处置、统一数据底座</w:t>
            </w:r>
          </w:p>
        </w:tc>
      </w:tr>
      <w:tr w14:paraId="3F924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168" w:type="dxa"/>
            <w:shd w:val="clear" w:color="auto" w:fill="F7FAF9"/>
            <w:vAlign w:val="center"/>
          </w:tcPr>
          <w:p w14:paraId="0F98F955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旅游公共服务高质量发展指导意见</w:t>
            </w:r>
          </w:p>
        </w:tc>
        <w:tc>
          <w:tcPr>
            <w:tcW w:w="3600" w:type="dxa"/>
            <w:shd w:val="clear" w:color="auto" w:fill="F7FAF9"/>
            <w:vAlign w:val="center"/>
          </w:tcPr>
          <w:p w14:paraId="171DD1BD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智慧公共服务平台、信息共享、AI问答</w:t>
            </w:r>
          </w:p>
        </w:tc>
        <w:tc>
          <w:tcPr>
            <w:tcW w:w="3600" w:type="dxa"/>
            <w:shd w:val="clear" w:color="auto" w:fill="F7FAF9"/>
            <w:vAlign w:val="center"/>
          </w:tcPr>
          <w:p w14:paraId="29B2BAC7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手机游客端、公告、问答、跨端协同服务</w:t>
            </w:r>
          </w:p>
        </w:tc>
      </w:tr>
    </w:tbl>
    <w:p w14:paraId="08170488">
      <w:pPr>
        <w:widowControl/>
        <w:spacing w:after="80" w:line="300" w:lineRule="exact"/>
        <w:ind w:left="216"/>
      </w:pPr>
      <w:r>
        <w:rPr>
          <w:rFonts w:ascii="Hiragino Sans GB" w:hAnsi="Hiragino Sans GB" w:eastAsia="Hiragino Sans GB"/>
          <w:i/>
          <w:color w:val="666666"/>
          <w:sz w:val="18"/>
        </w:rPr>
        <w:t>政策出处：国务院《“十四五”旅游业发展规划》；文化和旅游部等部门《智慧旅游创新发展行动计划》；《关于推进旅游公共服务高质量发展的指导意见》。</w:t>
      </w:r>
    </w:p>
    <w:p w14:paraId="38EC8562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第5页  项目痛点：已有记录分散，管理者需要跨页核对</w:t>
      </w:r>
    </w:p>
    <w:p w14:paraId="5C59996F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建议时长：2:00  |  版式：四象限问题图，突出本次要解决的一项问题</w:t>
      </w:r>
    </w:p>
    <w:p w14:paraId="31D3096E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任务、物资申请和审批已有业务关联，但管理者判断一件求助还需跟进什么，仍要查看不同页面。问题依据师生分析与项目记录，不写成未经开展的企业调研。</w:t>
      </w:r>
    </w:p>
    <w:p w14:paraId="68958457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游客服务：信息分布在不同服务入口，已有游客端与大屏用于集中呈现；开场展示其覆盖范围。</w:t>
      </w:r>
    </w:p>
    <w:p w14:paraId="6CC26961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运营管理：任务状态、负责人、待审批申请和处理反馈分散在不同页面，这是本次迭代直接解决的问题。</w:t>
      </w:r>
    </w:p>
    <w:p w14:paraId="687B7F63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现场处置：领取、申请、审批和反馈已经关联；本次整理这些记录供管理者核对，不宣称首次打通闭环。</w:t>
      </w:r>
    </w:p>
    <w:p w14:paraId="2FC725DF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前端复用：跨场景重复开发会增加维护负担，已有校园、小区前端用于说明复用成果，不表述为三套完整业务系统。</w:t>
      </w:r>
    </w:p>
    <w:p w14:paraId="0568AB03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第6页  总体设计：技术怎样支撑岗位协作</w:t>
      </w:r>
    </w:p>
    <w:p w14:paraId="206C1C30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建议时长：1:45  |  版式：自上而下四层架构图</w:t>
      </w:r>
    </w:p>
    <w:p w14:paraId="0C9D6C37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讲清技术选择的作用：Vue承载角色界面，Node.js组织业务接口，PostgreSQL保存关联记录，运行编号区分演练数据。图中突出本次复用的部分，不逐个念技术名称。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8294"/>
      </w:tblGrid>
      <w:tr w14:paraId="0659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016" w:type="dxa"/>
            <w:shd w:val="clear" w:color="auto" w:fill="2B756D"/>
            <w:vAlign w:val="center"/>
          </w:tcPr>
          <w:p w14:paraId="44498C3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架构层</w:t>
            </w:r>
          </w:p>
        </w:tc>
        <w:tc>
          <w:tcPr>
            <w:tcW w:w="8352" w:type="dxa"/>
            <w:shd w:val="clear" w:color="auto" w:fill="2B756D"/>
            <w:vAlign w:val="center"/>
          </w:tcPr>
          <w:p w14:paraId="68BED467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技术与作用</w:t>
            </w:r>
          </w:p>
        </w:tc>
      </w:tr>
      <w:tr w14:paraId="1F90B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shd w:val="clear" w:color="auto" w:fill="F7FAF9"/>
            <w:vAlign w:val="center"/>
          </w:tcPr>
          <w:p w14:paraId="121A8F58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应用端</w:t>
            </w:r>
          </w:p>
        </w:tc>
        <w:tc>
          <w:tcPr>
            <w:tcW w:w="8352" w:type="dxa"/>
            <w:shd w:val="clear" w:color="auto" w:fill="F7FAF9"/>
            <w:vAlign w:val="center"/>
          </w:tcPr>
          <w:p w14:paraId="6A39984C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Vue承载游客、员工、管理员等角色界面；本次在管理员现有页面增加视图</w:t>
            </w:r>
          </w:p>
        </w:tc>
      </w:tr>
      <w:tr w14:paraId="4E7E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vAlign w:val="center"/>
          </w:tcPr>
          <w:p w14:paraId="7F1C96D5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业务服务</w:t>
            </w:r>
          </w:p>
        </w:tc>
        <w:tc>
          <w:tcPr>
            <w:tcW w:w="8352" w:type="dxa"/>
            <w:vAlign w:val="center"/>
          </w:tcPr>
          <w:p w14:paraId="3556A5BA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Node.js承接查询与原有业务操作；本次新增只读查询，不修改审批和结案规则</w:t>
            </w:r>
          </w:p>
        </w:tc>
      </w:tr>
      <w:tr w14:paraId="606A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shd w:val="clear" w:color="auto" w:fill="F7FAF9"/>
            <w:vAlign w:val="center"/>
          </w:tcPr>
          <w:p w14:paraId="1627D761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通信与数据</w:t>
            </w:r>
          </w:p>
        </w:tc>
        <w:tc>
          <w:tcPr>
            <w:tcW w:w="8352" w:type="dxa"/>
            <w:shd w:val="clear" w:color="auto" w:fill="F7FAF9"/>
            <w:vAlign w:val="center"/>
          </w:tcPr>
          <w:p w14:paraId="5E7AEF4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PostgreSQL保存任务和OA记录，HTTP API提供查询；运行编号与任务编号控制关联范围</w:t>
            </w:r>
          </w:p>
        </w:tc>
      </w:tr>
      <w:tr w14:paraId="77E3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016" w:type="dxa"/>
            <w:vAlign w:val="center"/>
          </w:tcPr>
          <w:p w14:paraId="478E2C5A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场景与智能支撑</w:t>
            </w:r>
          </w:p>
        </w:tc>
        <w:tc>
          <w:tcPr>
            <w:tcW w:w="8352" w:type="dxa"/>
            <w:vAlign w:val="center"/>
          </w:tcPr>
          <w:p w14:paraId="585D79E9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景点路网、设施状态、仿真数据与已有AI服务支撑场景；本次复用，不另增开发主线</w:t>
            </w:r>
          </w:p>
        </w:tc>
      </w:tr>
    </w:tbl>
    <w:p w14:paraId="2AB2C1BA">
      <w:pPr>
        <w:keepNext/>
        <w:pageBreakBefore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第7页  已有能力：各岗位怎样使用同一套业务记录</w:t>
      </w:r>
    </w:p>
    <w:p w14:paraId="59E66E3B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建议时长：1:15  |  版式：保留2×3能力矩阵，配对应界面截图</w:t>
      </w:r>
    </w:p>
    <w:p w14:paraId="6A7C9D4D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用岗位需要解决的问题介绍已有能力，帮助评委理解开发基础。讲完切至实际页面，在8—12分钟核对原有任务和申请记录，说明新视图将集中哪些信息。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003"/>
        <w:gridCol w:w="6433"/>
      </w:tblGrid>
      <w:tr w14:paraId="3B9E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1872" w:type="dxa"/>
            <w:shd w:val="clear" w:color="auto" w:fill="2B756D"/>
            <w:vAlign w:val="center"/>
          </w:tcPr>
          <w:p w14:paraId="49C2FC1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岗位或场景</w:t>
            </w:r>
          </w:p>
        </w:tc>
        <w:tc>
          <w:tcPr>
            <w:tcW w:w="2016" w:type="dxa"/>
            <w:shd w:val="clear" w:color="auto" w:fill="2B756D"/>
            <w:vAlign w:val="center"/>
          </w:tcPr>
          <w:p w14:paraId="532F5765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需要解决的问题</w:t>
            </w:r>
          </w:p>
        </w:tc>
        <w:tc>
          <w:tcPr>
            <w:tcW w:w="6480" w:type="dxa"/>
            <w:shd w:val="clear" w:color="auto" w:fill="2B756D"/>
            <w:vAlign w:val="center"/>
          </w:tcPr>
          <w:p w14:paraId="582569F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已有能力或本次增量</w:t>
            </w:r>
          </w:p>
        </w:tc>
      </w:tr>
      <w:tr w14:paraId="001E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72" w:type="dxa"/>
            <w:shd w:val="clear" w:color="auto" w:fill="F7FAF9"/>
            <w:vAlign w:val="center"/>
          </w:tcPr>
          <w:p w14:paraId="75F2CC0A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游客导览</w:t>
            </w:r>
          </w:p>
        </w:tc>
        <w:tc>
          <w:tcPr>
            <w:tcW w:w="2016" w:type="dxa"/>
            <w:shd w:val="clear" w:color="auto" w:fill="F7FAF9"/>
            <w:vAlign w:val="center"/>
          </w:tcPr>
          <w:p w14:paraId="20FE0D2B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怎样查看景点与路线</w:t>
            </w:r>
          </w:p>
        </w:tc>
        <w:tc>
          <w:tcPr>
            <w:tcW w:w="6480" w:type="dxa"/>
            <w:shd w:val="clear" w:color="auto" w:fill="F7FAF9"/>
            <w:vAlign w:val="center"/>
          </w:tcPr>
          <w:p w14:paraId="342693A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已有沙盘、景点和导览页面</w:t>
            </w:r>
          </w:p>
        </w:tc>
      </w:tr>
      <w:tr w14:paraId="07ABB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72" w:type="dxa"/>
            <w:vAlign w:val="center"/>
          </w:tcPr>
          <w:p w14:paraId="24A43F6A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游客预约</w:t>
            </w:r>
          </w:p>
        </w:tc>
        <w:tc>
          <w:tcPr>
            <w:tcW w:w="2016" w:type="dxa"/>
            <w:vAlign w:val="center"/>
          </w:tcPr>
          <w:p w14:paraId="6DECD6A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怎样查询服务与预约信息</w:t>
            </w:r>
          </w:p>
        </w:tc>
        <w:tc>
          <w:tcPr>
            <w:tcW w:w="6480" w:type="dxa"/>
            <w:vAlign w:val="center"/>
          </w:tcPr>
          <w:p w14:paraId="07A32C7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已有入园、停车预约相关页面</w:t>
            </w:r>
          </w:p>
        </w:tc>
      </w:tr>
      <w:tr w14:paraId="616D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72" w:type="dxa"/>
            <w:shd w:val="clear" w:color="auto" w:fill="F7FAF9"/>
            <w:vAlign w:val="center"/>
          </w:tcPr>
          <w:p w14:paraId="710531E9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园方运营</w:t>
            </w:r>
          </w:p>
        </w:tc>
        <w:tc>
          <w:tcPr>
            <w:tcW w:w="2016" w:type="dxa"/>
            <w:shd w:val="clear" w:color="auto" w:fill="F7FAF9"/>
            <w:vAlign w:val="center"/>
          </w:tcPr>
          <w:p w14:paraId="3EFA2EE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怎样查看运行情况</w:t>
            </w:r>
          </w:p>
        </w:tc>
        <w:tc>
          <w:tcPr>
            <w:tcW w:w="6480" w:type="dxa"/>
            <w:shd w:val="clear" w:color="auto" w:fill="F7FAF9"/>
            <w:vAlign w:val="center"/>
          </w:tcPr>
          <w:p w14:paraId="26BD1AE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已有客流与设施状态展示，区分仿真与真实数据</w:t>
            </w:r>
          </w:p>
        </w:tc>
      </w:tr>
      <w:tr w14:paraId="136A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72" w:type="dxa"/>
            <w:vAlign w:val="center"/>
          </w:tcPr>
          <w:p w14:paraId="02DC2801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一线员工</w:t>
            </w:r>
          </w:p>
        </w:tc>
        <w:tc>
          <w:tcPr>
            <w:tcW w:w="2016" w:type="dxa"/>
            <w:vAlign w:val="center"/>
          </w:tcPr>
          <w:p w14:paraId="7EAC52D1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怎样接手任务并反馈</w:t>
            </w:r>
          </w:p>
        </w:tc>
        <w:tc>
          <w:tcPr>
            <w:tcW w:w="6480" w:type="dxa"/>
            <w:vAlign w:val="center"/>
          </w:tcPr>
          <w:p w14:paraId="57D95541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已有任务领取、OA申请、处理反馈与历史记录</w:t>
            </w:r>
          </w:p>
        </w:tc>
      </w:tr>
      <w:tr w14:paraId="1239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72" w:type="dxa"/>
            <w:shd w:val="clear" w:color="auto" w:fill="F7FAF9"/>
            <w:vAlign w:val="center"/>
          </w:tcPr>
          <w:p w14:paraId="2520D5BE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管理人员</w:t>
            </w:r>
          </w:p>
        </w:tc>
        <w:tc>
          <w:tcPr>
            <w:tcW w:w="2016" w:type="dxa"/>
            <w:shd w:val="clear" w:color="auto" w:fill="F7FAF9"/>
            <w:vAlign w:val="center"/>
          </w:tcPr>
          <w:p w14:paraId="498FB569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怎样集中核对未完成事项</w:t>
            </w:r>
          </w:p>
        </w:tc>
        <w:tc>
          <w:tcPr>
            <w:tcW w:w="6480" w:type="dxa"/>
            <w:shd w:val="clear" w:color="auto" w:fill="F7FAF9"/>
            <w:vAlign w:val="center"/>
          </w:tcPr>
          <w:p w14:paraId="7277DB82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已有任务与审批页面；本次新增待跟进清单和详情</w:t>
            </w:r>
          </w:p>
        </w:tc>
      </w:tr>
      <w:tr w14:paraId="2902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872" w:type="dxa"/>
            <w:vAlign w:val="center"/>
          </w:tcPr>
          <w:p w14:paraId="7BDA0E8C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游客与管理人员</w:t>
            </w:r>
          </w:p>
        </w:tc>
        <w:tc>
          <w:tcPr>
            <w:tcW w:w="2016" w:type="dxa"/>
            <w:vAlign w:val="center"/>
          </w:tcPr>
          <w:p w14:paraId="1BA46B5A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怎样问询与审核内容</w:t>
            </w:r>
          </w:p>
        </w:tc>
        <w:tc>
          <w:tcPr>
            <w:tcW w:w="6480" w:type="dxa"/>
            <w:vAlign w:val="center"/>
          </w:tcPr>
          <w:p w14:paraId="1D254F43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已有基础AI问答和聊天审核，说明实际接入范围</w:t>
            </w:r>
          </w:p>
        </w:tc>
      </w:tr>
    </w:tbl>
    <w:p w14:paraId="74A89534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第8页  本次迭代：把分散记录组织成待跟进视图</w:t>
      </w:r>
    </w:p>
    <w:p w14:paraId="58D96D75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建议时长：2:00  |  版式：上方业务流程，下方开发交接；待跟进事项用珊瑚红突出</w:t>
      </w:r>
    </w:p>
    <w:p w14:paraId="364BB41F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复用“求助—领取—申请—审批—反馈”记录，增加管理者的待跟进清单与事件详情。此页在12—14分钟讲述，明确开发目标和验收约定后进入实操。</w:t>
      </w:r>
    </w:p>
    <w:p w14:paraId="4C33CC64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数据交接：数据库成员通过运行编号和任务编号关联现有任务与OA记录，统计待审批数量，同时保留没有申请的任务。</w:t>
      </w:r>
    </w:p>
    <w:p w14:paraId="31F12200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接口交接：后端成员用TypeScript接入查询，新增管理员只读接口 GET /api/v1/admin/task-followups，完成权限检查与错误处理。</w:t>
      </w:r>
    </w:p>
    <w:p w14:paraId="77487335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界面交接：前端成员用Vue接入接口，显示未完成任务、负责人、状态和待审批数量，支持筛选、详情及全部任务查询；读取失败明确报错。</w:t>
      </w:r>
    </w:p>
    <w:p w14:paraId="2A9E304D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验收交接：主讲与测试成员补充固定断言，核对无申请任务保留、待审批计数和运行隔离，并检查管理员成功、非管理员拒绝及集成页面结果。</w:t>
      </w:r>
    </w:p>
    <w:p w14:paraId="7B7B34A3">
      <w:pPr>
        <w:widowControl/>
        <w:spacing w:after="80" w:line="300" w:lineRule="exact"/>
        <w:ind w:left="216"/>
      </w:pPr>
      <w:r>
        <w:rPr>
          <w:rFonts w:ascii="Hiragino Sans GB" w:hAnsi="Hiragino Sans GB" w:eastAsia="Hiragino Sans GB"/>
          <w:i/>
          <w:color w:val="666666"/>
          <w:sz w:val="18"/>
        </w:rPr>
        <w:t>实操安排：14—22分钟数据库，22—32分钟后端，32—42分钟前端，42—48分钟测试，48—53分钟用求助流程验证视图随申请、审批和完成而变化。预置框架、样式和测试环境，现场补全关键实现；主投影随成员交接切换，最终验收同一个集成版本。</w:t>
      </w:r>
    </w:p>
    <w:p w14:paraId="32EEFFCD">
      <w:pPr>
        <w:keepNext/>
        <w:pageBreakBefore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第9页  重要成果：项目解决了哪些问题</w:t>
      </w:r>
    </w:p>
    <w:p w14:paraId="7329BFD2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建议时长：0:35  |  版式：问题—解决方式—结果三列表格</w:t>
      </w:r>
    </w:p>
    <w:p w14:paraId="02C84384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区分已有系统成果与本次新增视图。只汇总刚才已经核对的查询、接口、页面和测试结果，未通过项如实保留。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4432"/>
        <w:gridCol w:w="3433"/>
      </w:tblGrid>
      <w:tr w14:paraId="18E7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448" w:type="dxa"/>
            <w:shd w:val="clear" w:color="auto" w:fill="2B756D"/>
            <w:vAlign w:val="center"/>
          </w:tcPr>
          <w:p w14:paraId="628BBA3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问题或目标</w:t>
            </w:r>
          </w:p>
        </w:tc>
        <w:tc>
          <w:tcPr>
            <w:tcW w:w="4464" w:type="dxa"/>
            <w:shd w:val="clear" w:color="auto" w:fill="2B756D"/>
            <w:vAlign w:val="center"/>
          </w:tcPr>
          <w:p w14:paraId="233C5D25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解决方式</w:t>
            </w:r>
          </w:p>
        </w:tc>
        <w:tc>
          <w:tcPr>
            <w:tcW w:w="3456" w:type="dxa"/>
            <w:shd w:val="clear" w:color="auto" w:fill="2B756D"/>
            <w:vAlign w:val="center"/>
          </w:tcPr>
          <w:p w14:paraId="1C384FB7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可展示的结果</w:t>
            </w:r>
          </w:p>
        </w:tc>
      </w:tr>
      <w:tr w14:paraId="2D85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48" w:type="dxa"/>
            <w:shd w:val="clear" w:color="auto" w:fill="F7FAF9"/>
            <w:vAlign w:val="center"/>
          </w:tcPr>
          <w:p w14:paraId="31B0F4A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已有多端协同基础</w:t>
            </w:r>
          </w:p>
        </w:tc>
        <w:tc>
          <w:tcPr>
            <w:tcW w:w="4464" w:type="dxa"/>
            <w:shd w:val="clear" w:color="auto" w:fill="F7FAF9"/>
            <w:vAlign w:val="center"/>
          </w:tcPr>
          <w:p w14:paraId="663B8BF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共享业务记录，各端按角色读取</w:t>
            </w:r>
          </w:p>
        </w:tc>
        <w:tc>
          <w:tcPr>
            <w:tcW w:w="3456" w:type="dxa"/>
            <w:shd w:val="clear" w:color="auto" w:fill="F7FAF9"/>
            <w:vAlign w:val="center"/>
          </w:tcPr>
          <w:p w14:paraId="7E4BEE2F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用实际页面和记录说明已实现范围</w:t>
            </w:r>
          </w:p>
        </w:tc>
      </w:tr>
      <w:tr w14:paraId="7FE10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48" w:type="dxa"/>
            <w:vAlign w:val="center"/>
          </w:tcPr>
          <w:p w14:paraId="23CD804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演练输入需要可复现</w:t>
            </w:r>
          </w:p>
        </w:tc>
        <w:tc>
          <w:tcPr>
            <w:tcW w:w="4464" w:type="dxa"/>
            <w:vAlign w:val="center"/>
          </w:tcPr>
          <w:p w14:paraId="3363341F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按固定条件生成仿真数据</w:t>
            </w:r>
          </w:p>
        </w:tc>
        <w:tc>
          <w:tcPr>
            <w:tcW w:w="3456" w:type="dxa"/>
            <w:vAlign w:val="center"/>
          </w:tcPr>
          <w:p w14:paraId="1EEC2671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展示可重复测试输入，不宣称真实预测</w:t>
            </w:r>
          </w:p>
        </w:tc>
      </w:tr>
      <w:tr w14:paraId="38DF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48" w:type="dxa"/>
            <w:shd w:val="clear" w:color="auto" w:fill="F7FAF9"/>
            <w:vAlign w:val="center"/>
          </w:tcPr>
          <w:p w14:paraId="5F59EC78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管理者需要跨页核对</w:t>
            </w:r>
          </w:p>
        </w:tc>
        <w:tc>
          <w:tcPr>
            <w:tcW w:w="4464" w:type="dxa"/>
            <w:shd w:val="clear" w:color="auto" w:fill="F7FAF9"/>
            <w:vAlign w:val="center"/>
          </w:tcPr>
          <w:p w14:paraId="75D9F00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本次增加待跟进查询与管理页面</w:t>
            </w:r>
          </w:p>
        </w:tc>
        <w:tc>
          <w:tcPr>
            <w:tcW w:w="3456" w:type="dxa"/>
            <w:shd w:val="clear" w:color="auto" w:fill="F7FAF9"/>
            <w:vAlign w:val="center"/>
          </w:tcPr>
          <w:p w14:paraId="0F335B35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集中查看负责人、待审批数量和处理记录</w:t>
            </w:r>
          </w:p>
        </w:tc>
      </w:tr>
      <w:tr w14:paraId="6C70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48" w:type="dxa"/>
            <w:vAlign w:val="center"/>
          </w:tcPr>
          <w:p w14:paraId="14DAC31C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计数与关联需要可信</w:t>
            </w:r>
          </w:p>
        </w:tc>
        <w:tc>
          <w:tcPr>
            <w:tcW w:w="4464" w:type="dxa"/>
            <w:vAlign w:val="center"/>
          </w:tcPr>
          <w:p w14:paraId="2770AD80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关联查询、参数约束与自动化断言</w:t>
            </w:r>
          </w:p>
        </w:tc>
        <w:tc>
          <w:tcPr>
            <w:tcW w:w="3456" w:type="dxa"/>
            <w:vAlign w:val="center"/>
          </w:tcPr>
          <w:p w14:paraId="51C7BA51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报告本次实际测试结果和未通过项</w:t>
            </w:r>
          </w:p>
        </w:tc>
      </w:tr>
      <w:tr w14:paraId="61B6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48" w:type="dxa"/>
            <w:shd w:val="clear" w:color="auto" w:fill="F7FAF9"/>
            <w:vAlign w:val="center"/>
          </w:tcPr>
          <w:p w14:paraId="434E4226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完成后仍需核验结果</w:t>
            </w:r>
          </w:p>
        </w:tc>
        <w:tc>
          <w:tcPr>
            <w:tcW w:w="4464" w:type="dxa"/>
            <w:shd w:val="clear" w:color="auto" w:fill="F7FAF9"/>
            <w:vAlign w:val="center"/>
          </w:tcPr>
          <w:p w14:paraId="1A6A66BD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默认清单与全部任务查询配合</w:t>
            </w:r>
          </w:p>
        </w:tc>
        <w:tc>
          <w:tcPr>
            <w:tcW w:w="3456" w:type="dxa"/>
            <w:shd w:val="clear" w:color="auto" w:fill="F7FAF9"/>
            <w:vAlign w:val="center"/>
          </w:tcPr>
          <w:p w14:paraId="4F6E4AFC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完成任务移出默认清单，全部任务中仍可查</w:t>
            </w:r>
          </w:p>
        </w:tc>
      </w:tr>
    </w:tbl>
    <w:p w14:paraId="07754F0C">
      <w:pPr>
        <w:widowControl/>
        <w:spacing w:after="80" w:line="300" w:lineRule="exact"/>
        <w:ind w:left="216"/>
      </w:pPr>
      <w:r>
        <w:rPr>
          <w:rFonts w:ascii="Hiragino Sans GB" w:hAnsi="Hiragino Sans GB" w:eastAsia="Hiragino Sans GB"/>
          <w:i/>
          <w:color w:val="666666"/>
          <w:sz w:val="18"/>
        </w:rPr>
        <w:t>表述边界：前后对比说明原来需查看哪些页面、新视图能集中获得哪些信息。切换次数、耗时和提升比例只有实际测量后才能填写；历史4项测试不能替代本次验收。求助属于演练，审批不等于实物出库，结案不等于客流恢复，部署记录不等于生产或真实设备验收。</w:t>
      </w:r>
    </w:p>
    <w:p w14:paraId="66713FEF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第10页  技术应用与创新：可复现仿真与AI业务服务</w:t>
      </w:r>
    </w:p>
    <w:p w14:paraId="768D16F0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建议时长：0:40  |  版式：左右双栏，底部用一句话联系本次迭代</w:t>
      </w:r>
    </w:p>
    <w:p w14:paraId="62365A8D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保留可复现仿真与AI服务两条已有方向，并说明本次通过关联查询和统一接口，把跨岗位记录整理为管理者能直接核对的信息。这是面向具体问题的应用改进，不把常见技术组合称为行业首创。</w:t>
      </w:r>
    </w:p>
    <w:p w14:paraId="2F318E60">
      <w:pPr>
        <w:widowControl/>
        <w:spacing w:line="300" w:lineRule="exact"/>
      </w:pPr>
      <w:r>
        <w:rPr>
          <w:rFonts w:ascii="Hiragino Sans GB" w:hAnsi="Hiragino Sans GB" w:eastAsia="Hiragino Sans GB"/>
          <w:b/>
        </w:rPr>
        <w:t>方向一：可复现的仿真数据支持开发验证</w:t>
      </w:r>
    </w:p>
    <w:p w14:paraId="05EB1E90">
      <w:pPr>
        <w:pStyle w:val="23"/>
        <w:widowControl/>
        <w:spacing w:after="40" w:line="300" w:lineRule="exact"/>
      </w:pPr>
      <w:r>
        <w:rPr>
          <w:rFonts w:ascii="Hiragino Sans GB" w:hAnsi="Hiragino Sans GB" w:eastAsia="Hiragino Sans GB"/>
        </w:rPr>
        <w:t>以业务日期、时间和确定性种子生成客流与设施状态演练数据，为接口联调和流程测试提供可重复输入。</w:t>
      </w:r>
    </w:p>
    <w:p w14:paraId="4C3F24C5">
      <w:pPr>
        <w:pStyle w:val="23"/>
        <w:widowControl/>
        <w:spacing w:after="40" w:line="300" w:lineRule="exact"/>
      </w:pPr>
      <w:r>
        <w:rPr>
          <w:rFonts w:ascii="Hiragino Sans GB" w:hAnsi="Hiragino Sans GB" w:eastAsia="Hiragino Sans GB"/>
        </w:rPr>
        <w:t>只报告已经验证的可复现范围，用于测试、培训和演示；不将仿真趋势表述为已验证的真实客流预测。</w:t>
      </w:r>
    </w:p>
    <w:p w14:paraId="2A9369ED">
      <w:pPr>
        <w:widowControl/>
        <w:spacing w:line="300" w:lineRule="exact"/>
      </w:pPr>
      <w:r>
        <w:rPr>
          <w:rFonts w:ascii="Hiragino Sans GB" w:hAnsi="Hiragino Sans GB" w:eastAsia="Hiragino Sans GB"/>
          <w:b/>
        </w:rPr>
        <w:t>方向二：AI结合景区信息提供服务</w:t>
      </w:r>
    </w:p>
    <w:p w14:paraId="6C8114AC">
      <w:pPr>
        <w:pStyle w:val="23"/>
        <w:widowControl/>
        <w:spacing w:after="40" w:line="300" w:lineRule="exact"/>
      </w:pPr>
      <w:r>
        <w:rPr>
          <w:rFonts w:ascii="Hiragino Sans GB" w:hAnsi="Hiragino Sans GB" w:eastAsia="Hiragino Sans GB"/>
        </w:rPr>
        <w:t>围绕已有景区资料与状态信息提供问答，并支持聊天内容审核；用实际代码和运行证据说明已接入的范围。</w:t>
      </w:r>
    </w:p>
    <w:p w14:paraId="7E7B1547">
      <w:pPr>
        <w:pStyle w:val="23"/>
        <w:widowControl/>
        <w:spacing w:after="40" w:line="300" w:lineRule="exact"/>
      </w:pPr>
      <w:r>
        <w:rPr>
          <w:rFonts w:ascii="Hiragino Sans GB" w:hAnsi="Hiragino Sans GB" w:eastAsia="Hiragino Sans GB"/>
        </w:rPr>
        <w:t>知识发布隔离、检索增强和完整模型端到端验证仍需完善；不宣称AI已能自动调度或执行处置。本次不增加AI开发任务。</w:t>
      </w:r>
    </w:p>
    <w:p w14:paraId="39AA497F">
      <w:pPr>
        <w:keepNext/>
        <w:pageBreakBefore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第11页  应用价值与持续建设路线</w:t>
      </w:r>
    </w:p>
    <w:p w14:paraId="13AB3069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建议时长：0:30  |  版式：左侧价值对象，右侧三阶段路线图  |  定位：未来展望</w:t>
      </w:r>
    </w:p>
    <w:p w14:paraId="08C0E712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项目具备从竞赛演示、真实接入到平台推广的持续扩展空间。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8007"/>
      </w:tblGrid>
      <w:tr w14:paraId="1EBFC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304" w:type="dxa"/>
            <w:shd w:val="clear" w:color="auto" w:fill="2B756D"/>
            <w:vAlign w:val="center"/>
          </w:tcPr>
          <w:p w14:paraId="04AA8F9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价值对象</w:t>
            </w:r>
          </w:p>
        </w:tc>
        <w:tc>
          <w:tcPr>
            <w:tcW w:w="8064" w:type="dxa"/>
            <w:shd w:val="clear" w:color="auto" w:fill="2B756D"/>
            <w:vAlign w:val="center"/>
          </w:tcPr>
          <w:p w14:paraId="31A59F3B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可提供的帮助</w:t>
            </w:r>
          </w:p>
        </w:tc>
      </w:tr>
      <w:tr w14:paraId="05B7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04" w:type="dxa"/>
            <w:shd w:val="clear" w:color="auto" w:fill="F7FAF9"/>
            <w:vAlign w:val="center"/>
          </w:tcPr>
          <w:p w14:paraId="7DE373C7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游客</w:t>
            </w:r>
          </w:p>
        </w:tc>
        <w:tc>
          <w:tcPr>
            <w:tcW w:w="8064" w:type="dxa"/>
            <w:shd w:val="clear" w:color="auto" w:fill="F7FAF9"/>
            <w:vAlign w:val="center"/>
          </w:tcPr>
          <w:p w14:paraId="4F7CDFF3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统一导览、预约、问答、客流和设施信息服务</w:t>
            </w:r>
          </w:p>
        </w:tc>
      </w:tr>
      <w:tr w14:paraId="279F9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04" w:type="dxa"/>
            <w:vAlign w:val="center"/>
          </w:tcPr>
          <w:p w14:paraId="469B9A4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景区管理者</w:t>
            </w:r>
          </w:p>
        </w:tc>
        <w:tc>
          <w:tcPr>
            <w:tcW w:w="8064" w:type="dxa"/>
            <w:vAlign w:val="center"/>
          </w:tcPr>
          <w:p w14:paraId="584E6F14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运行态势、风险预警、资源调度和运营复盘</w:t>
            </w:r>
          </w:p>
        </w:tc>
      </w:tr>
      <w:tr w14:paraId="48EF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04" w:type="dxa"/>
            <w:shd w:val="clear" w:color="auto" w:fill="F7FAF9"/>
            <w:vAlign w:val="center"/>
          </w:tcPr>
          <w:p w14:paraId="40E35E1D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一线员工</w:t>
            </w:r>
          </w:p>
        </w:tc>
        <w:tc>
          <w:tcPr>
            <w:tcW w:w="8064" w:type="dxa"/>
            <w:shd w:val="clear" w:color="auto" w:fill="F7FAF9"/>
            <w:vAlign w:val="center"/>
          </w:tcPr>
          <w:p w14:paraId="3D1ECD4B">
            <w:pPr>
              <w:keepNext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任务清晰、流程留痕、OA协同、处置反馈</w:t>
            </w:r>
          </w:p>
        </w:tc>
      </w:tr>
      <w:tr w14:paraId="52DD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304" w:type="dxa"/>
            <w:vAlign w:val="center"/>
          </w:tcPr>
          <w:p w14:paraId="60FBEF13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行业推广</w:t>
            </w:r>
          </w:p>
        </w:tc>
        <w:tc>
          <w:tcPr>
            <w:tcW w:w="8064" w:type="dxa"/>
            <w:vAlign w:val="center"/>
          </w:tcPr>
          <w:p w14:paraId="1C853971">
            <w:pPr>
              <w:keepNext w:val="0"/>
              <w:widowControl/>
              <w:spacing w:after="60" w:line="300" w:lineRule="exact" w:before="60"/>
            </w:pPr>
            <w:r>
              <w:rPr>
                <w:rFonts w:ascii="Hiragino Sans GB" w:hAnsi="Hiragino Sans GB" w:eastAsia="Hiragino Sans GB"/>
                <w:b w:val="0"/>
                <w:color w:val="20343A"/>
                <w:sz w:val="18"/>
              </w:rPr>
              <w:t>适配山岳景区、森林公园、古镇和主题乐园等场景</w:t>
            </w:r>
          </w:p>
        </w:tc>
      </w:tr>
    </w:tbl>
    <w:p w14:paraId="3E254C19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阶段一：演示验证，完善六端联动和标准演示流程。</w:t>
      </w:r>
    </w:p>
    <w:p w14:paraId="41D2F9DF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阶段二：真实接入，接入闸机、停车、摄像头、</w:t>
      </w:r>
      <w:bookmarkStart w:id="0" w:name="_GoBack"/>
      <w:bookmarkEnd w:id="0"/>
      <w:r>
        <w:rPr>
          <w:rFonts w:ascii="Hiragino Sans GB" w:hAnsi="Hiragino Sans GB" w:eastAsia="Hiragino Sans GB"/>
        </w:rPr>
        <w:t>物联网设备。</w:t>
      </w:r>
    </w:p>
    <w:p w14:paraId="7642CAC9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阶段三：平台推广，形成多景区配置、区域监管和持续运营能力。</w:t>
      </w:r>
    </w:p>
    <w:p w14:paraId="62A2122F">
      <w:pPr>
        <w:keepNext/>
        <w:widowControl/>
        <w:spacing w:before="160" w:after="40" w:line="420" w:lineRule="exact"/>
      </w:pPr>
      <w:r>
        <w:rPr>
          <w:rFonts w:ascii="Hiragino Sans GB" w:hAnsi="Hiragino Sans GB" w:eastAsia="Hiragino Sans GB"/>
          <w:b/>
          <w:color w:val="2B756D"/>
          <w:sz w:val="30"/>
        </w:rPr>
        <w:t>第12页  总结：学生团队完成一次可核验的交付</w:t>
      </w:r>
    </w:p>
    <w:p w14:paraId="5ADBA417">
      <w:pPr>
        <w:keepNext/>
        <w:widowControl/>
        <w:spacing w:after="60" w:line="300" w:lineRule="exact"/>
      </w:pPr>
      <w:r>
        <w:rPr>
          <w:rFonts w:ascii="Hiragino Sans GB" w:hAnsi="Hiragino Sans GB" w:eastAsia="Hiragino Sans GB"/>
          <w:color w:val="D96B5F"/>
          <w:sz w:val="18"/>
        </w:rPr>
        <w:t>建议时长：0:15  |  版式：深色收尾页，三句总结 + 团队交付结论</w:t>
      </w:r>
    </w:p>
    <w:p w14:paraId="43681994">
      <w:pPr>
        <w:keepNext/>
        <w:widowControl/>
        <w:spacing w:after="80" w:line="300" w:lineRule="exact"/>
      </w:pPr>
      <w:r>
        <w:rPr>
          <w:rFonts w:ascii="Hiragino Sans GB" w:hAnsi="Hiragino Sans GB" w:eastAsia="Hiragino Sans GB"/>
          <w:b/>
        </w:rPr>
        <w:t>本页核心：</w:t>
      </w:r>
      <w:r>
        <w:rPr>
          <w:rFonts w:ascii="Hiragino Sans GB" w:hAnsi="Hiragino Sans GB" w:eastAsia="Hiragino Sans GB"/>
        </w:rPr>
        <w:t>学生把管理者的核对需求落实为查询、接口与页面，再用测试和实际流程检验交付结果。</w:t>
      </w:r>
    </w:p>
    <w:p w14:paraId="51E8CE7F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我们从现有业务记录中明确了管理者需要集中核对的问题。</w:t>
      </w:r>
    </w:p>
    <w:p w14:paraId="5715F265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四人完成数据、接口、界面与测试交接，并汇入同一个演练版本。</w:t>
      </w:r>
    </w:p>
    <w:p w14:paraId="4E252A78">
      <w:pPr>
        <w:pStyle w:val="16"/>
        <w:widowControl/>
        <w:spacing w:after="40" w:line="300" w:lineRule="exact"/>
      </w:pPr>
      <w:r>
        <w:rPr>
          <w:rFonts w:ascii="Hiragino Sans GB" w:hAnsi="Hiragino Sans GB" w:eastAsia="Hiragino Sans GB"/>
        </w:rPr>
        <w:t>按现场实际结果报告已通过项与未完成项，以可核对的证据说明本次交付。</w:t>
      </w:r>
    </w:p>
    <w:p w14:paraId="237F1E36">
      <w:pPr>
        <w:pStyle w:val="3"/>
        <w:widowControl/>
        <w:spacing w:line="300" w:lineRule="exact"/>
      </w:pPr>
      <w:r>
        <w:rPr>
          <w:rFonts w:ascii="Hiragino Sans GB" w:hAnsi="Hiragino Sans GB" w:eastAsia="Hiragino Sans GB"/>
        </w:rPr>
        <w:t>政策参考链接</w:t>
      </w:r>
    </w:p>
    <w:p w14:paraId="2A99AE54">
      <w:pPr>
        <w:pStyle w:val="16"/>
        <w:widowControl/>
        <w:spacing w:line="300" w:lineRule="exact"/>
      </w:pPr>
      <w:r>
        <w:rPr>
          <w:rFonts w:ascii="Hiragino Sans GB" w:hAnsi="Hiragino Sans GB" w:eastAsia="Hiragino Sans GB"/>
        </w:rPr>
        <w:t>国务院：“十四五”旅游业发展规划：https://www.gov.cn/zhengce/content/2022-01/20/content_5669468.htm</w:t>
      </w:r>
    </w:p>
    <w:p w14:paraId="41102CF0">
      <w:pPr>
        <w:pStyle w:val="16"/>
        <w:widowControl/>
        <w:spacing w:line="300" w:lineRule="exact"/>
      </w:pPr>
      <w:r>
        <w:rPr>
          <w:rFonts w:ascii="Hiragino Sans GB" w:hAnsi="Hiragino Sans GB" w:eastAsia="Hiragino Sans GB"/>
        </w:rPr>
        <w:t>智慧旅游创新发展行动计划：https://www.gov.cn/zhengce/zhengceku/202405/content_6950881.htm?ddtab=true</w:t>
      </w:r>
    </w:p>
    <w:p w14:paraId="5AB0C1E1">
      <w:pPr>
        <w:pStyle w:val="16"/>
        <w:widowControl/>
        <w:spacing w:line="300" w:lineRule="exact"/>
      </w:pPr>
      <w:r>
        <w:rPr>
          <w:rFonts w:ascii="Hiragino Sans GB" w:hAnsi="Hiragino Sans GB" w:eastAsia="Hiragino Sans GB"/>
        </w:rPr>
        <w:t>关于推进旅游公共服务高质量发展的指导意见：https://www.gov.cn/zhengce/zhengceku/202408/content_6966756.htm</w:t>
      </w:r>
    </w:p>
    <w:p w14:paraId="6D668B24">
      <w:pPr>
        <w:pStyle w:val="16"/>
        <w:widowControl/>
        <w:spacing w:line="300" w:lineRule="exact"/>
      </w:pPr>
      <w:r>
        <w:rPr>
          <w:rFonts w:ascii="Hiragino Sans GB" w:hAnsi="Hiragino Sans GB" w:eastAsia="Hiragino Sans GB"/>
        </w:rPr>
        <w:t>关于深化“互联网+旅游”推动旅游业高质量发展的意见：https://www.gov.cn/zhengce/zhengceku/2020-11/30/content_5566046.htm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A76D63"/>
    <w:rsid w:val="267A5596"/>
    <w:rsid w:val="3AB17449"/>
    <w:rsid w:val="52350508"/>
    <w:rsid w:val="5FDE6CEA"/>
    <w:rsid w:val="709A7A5C"/>
    <w:rsid w:val="795F1843"/>
    <w:rsid w:val="7C5C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iragino Sans GB" w:hAnsi="Hiragino Sans GB" w:eastAsia="Hiragino Sans GB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cstheme="majorBidi" w:ascii="Hiragino Sans GB" w:hAnsi="Hiragino Sans GB" w:eastAsia="Hiragino Sans GB"/>
      <w:b/>
      <w:bCs/>
      <w:color w:val="2B756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cstheme="majorBidi" w:ascii="Hiragino Sans GB" w:hAnsi="Hiragino Sans GB" w:eastAsia="Hiragino Sans GB"/>
      <w:b/>
      <w:bCs/>
      <w:color w:val="20343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 w:ascii="Hiragino Sans GB" w:hAnsi="Hiragino Sans GB" w:eastAsia="Hiragino Sans GB"/>
      <w:b/>
      <w:bCs/>
      <w:color w:val="D96B5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cstheme="majorBidi"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cstheme="majorBidi" w:ascii="Hiragino Sans GB" w:hAnsi="Hiragino Sans GB" w:eastAsia="Hiragino Sans GB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cstheme="majorBidi" w:ascii="Hiragino Sans GB" w:hAnsi="Hiragino Sans GB" w:eastAsia="Hiragino Sans GB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cstheme="majorBidi" w:ascii="Hiragino Sans GB" w:hAnsi="Hiragino Sans GB" w:eastAsia="Hiragino Sans GB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cstheme="majorBidi" w:ascii="Hiragino Sans GB" w:hAnsi="Hiragino Sans GB" w:eastAsia="Hiragino Sans GB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cstheme="majorBidi" w:ascii="Hiragino Sans GB" w:hAnsi="Hiragino Sans GB" w:eastAsia="Hiragino Sans GB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Hiragino Sans GB" w:hAnsi="Hiragino Sans GB" w:cstheme="minorBidi" w:eastAsia="Hiragino Sans GB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Hiragino Sans GB" w:hAnsi="Hiragino Sans GB" w:eastAsia="Hiragino Sans GB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Hiragino Sans GB" w:hAnsi="Hiragino Sans GB" w:eastAsia="Hiragino Sans GB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Hiragino Sans GB" w:hAnsi="Hiragino Sans GB" w:eastAsia="Hiragino Sans GB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Hiragino Sans GB" w:hAnsi="Hiragino Sans GB" w:eastAsia="Hiragino Sans GB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Hiragino Sans GB" w:hAnsi="Hiragino Sans GB" w:eastAsia="Hiragino Sans GB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Hiragino Sans GB" w:hAnsi="Hiragino Sans GB" w:eastAsia="Hiragino Sans GB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Hiragino Sans GB" w:hAnsi="Hiragino Sans GB" w:eastAsia="Hiragino Sans GB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Hiragino Sans GB" w:hAnsi="Hiragino Sans GB" w:eastAsia="Hiragino Sans GB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paragraph" w:styleId="26">
    <w:name w:val="Subtitle"/>
    <w:basedOn w:val="1"/>
    <w:next w:val="1"/>
    <w:link w:val="142"/>
    <w:qFormat/>
    <w:uiPriority w:val="11"/>
    <w:rPr>
      <w:rFonts w:cstheme="majorBidi" w:ascii="Hiragino Sans GB" w:hAnsi="Hiragino Sans GB" w:eastAsia="Hiragino Sans GB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Hiragino Sans GB" w:hAnsi="Hiragino Sans GB" w:eastAsia="Hiragino Sans GB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cstheme="majorBidi" w:ascii="Hiragino Sans GB" w:hAnsi="Hiragino Sans GB" w:eastAsia="Hiragino Sans GB"/>
      <w:b/>
      <w:color w:val="20343A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cstheme="minorBidi" w:ascii="Hiragino Sans GB" w:hAnsi="Hiragino Sans GB" w:eastAsia="Hiragino Sans GB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Hiragino Sans GB" w:hAnsi="Hiragino Sans GB" w:eastAsia="Hiragino Sans GB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Hiragino Sans GB" w:hAnsi="Hiragino Sans GB" w:eastAsia="Hiragino Sans GB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Hiragino Sans GB" w:hAnsi="Hiragino Sans GB" w:eastAsia="Hiragino Sans GB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</Words>
  <Characters>219</Characters>
  <Lines>0</Lines>
  <Paragraphs>0</Paragraphs>
  <TotalTime>29</TotalTime>
  <ScaleCrop>false</ScaleCrop>
  <LinksUpToDate>false</LinksUpToDate>
  <CharactersWithSpaces>219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2026-10-07T10:53:57Z</dcterms:modified>
  <cp:revision>1</cp:revision>
  <dc:title>省赛 PPT 排版大纲 迭代版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eyJoZGlkIjoiOGViYTA4MzE0MGY4YzAyMGExYzcxYTM3ZmQ4ZWM5ZjMiLCJ1c2VySWQiOiIxNDMzMDY0NjYyIn0=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A678A4DC44C44E20AB54270DF393DC2C_12</vt:lpwstr>
  </property>
</Properties>
</file>