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Page 2: Q2(b) (the two ways that use exactly 4 pieces) and Q3(b) (change from $50, fewest notes). Page 3: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2026-10-24T13:14:06.741Z</dcterms:created>
  <dcterms:modified xsi:type="dcterms:W3CDTF">2026-10-24T13:14:06.741Z</dcterms:modified>
</cp:coreProperties>
</file>

<file path=docProps/custom.xml><?xml version="1.0" encoding="utf-8"?>
<Properties xmlns="http://schemas.openxmlformats.org/officeDocument/2006/custom-properties" xmlns:vt="http://schemas.openxmlformats.org/officeDocument/2006/docPropsVTypes"/>
</file>