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9 to 11 (builds on Primary 4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Syllabus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level builds on Primary 4 maths and goes beyond it on purpose. Do not describe it as P4-aligned or as covering the MOE syllabus. Lesson 3 (order of operations and brackets) and the unknown-angle items in Lesson 6 are labelled “stretch beyond P4”: they are Primary 5 topics. The compass turns in Lesson 6 are enrichment that the primary syllabus does not list.</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check for both puzzles (children say the answers together on three), then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say it together on three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say it together on three when the tutor says (nothing is held up to the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Nothing is held up to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(2.5 minutes)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Common look-back: one problem, three questions (answered what was asked? makes sense? checked another way?), tool ticks, 90-second timer, then stamp the journals.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a clear plastic 180 degree protractor and a 30 cm ruler for Lesson 6 (a school one is fine; they are cheap to buy). Lesson 6 Q1 asks children to measure with it, and the arms there are drawn short with the instruction to extend them with a ruler. Tutors keep two or three spare protractors.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as a badge on the title and talk slides,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8 to 10)</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changes by the same amount, then say the rule.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the possibilities in an organised order and say how you know you have them all.</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bar model or number line that shows what is known and what is asked.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fill it row by row and look down the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from the answer and undo each step in reverse order, then check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sensible guess, check it against every clue, improve it.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a smaller version first, then see what changes as it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objects, folding or a role-play to see what happens, then record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what was asked? 2) Does my answer make sense? (Is it about the right size?) 3) Can I check it another way? Children tick yes or not yet, write one short line “I checked by …” for question 3, and tick the tools they used. The timer is 90 seconds, then stamp the journals. Nothing is collected, read aloud or marked. At this level Talk time is one minute longer than before and the look-back one minute shorter: the extra minute is for the tool question.</w:t>
      </w:r>
    </w:p>
    <w:p>
      <w:pPr>
        <w:keepNext/>
        <w:keepLines/>
        <w:spacing w:after="60" w:before="160" w:line="320" w:lineRule="auto"/>
      </w:pPr>
      <w:r>
        <w:rPr>
          <w:rFonts w:ascii="Arial" w:cs="Arial" w:eastAsia="Arial" w:hAnsi="Arial"/>
          <w:b/>
          <w:bCs/>
          <w:color w:val="1F3864"/>
          <w:sz w:val="24"/>
          <w:szCs w:val="24"/>
        </w:rPr>
        <w:t xml:space="preserve">Focus habit (every lesson)</w:t>
      </w:r>
    </w:p>
    <w:p>
      <w:pPr>
        <w:keepLines/>
        <w:spacing w:after="80" w:before="0" w:line="280" w:lineRule="auto"/>
      </w:pPr>
      <w:r>
        <w:rPr>
          <w:rFonts w:ascii="Arial" w:cs="Arial" w:eastAsia="Arial" w:hAnsi="Arial"/>
          <w:sz w:val="21"/>
          <w:szCs w:val="21"/>
        </w:rPr>
        <w:t xml:space="preserve">Every lesson names ONE focus habit on its front page, on the opening slide and on the look-back slide, and has one “explain your thinking” item in the online practice. The habit is something the children practise; you are not testing it. The same six habits are used at every level.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700"/>
      </w:tblGrid>
      <w:tr>
        <w:trPr>
          <w:cantSplit/>
        </w:trPr>
        <w:tc>
          <w:tcPr>
            <w:tcW w:type="dxa" w:w="1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Habit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Child says</w:t>
            </w:r>
          </w:p>
        </w:tc>
        <w:tc>
          <w:tcPr>
            <w:tcW w:type="dxa" w:w="5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Your move and prompt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Notice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I see?”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on the picture or the numbers and let the child say what they see before you name anything. Say: “What do you see? What stays the same, what changes?”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Wonder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could I ask?”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Invite a question or a what-if before any answer is given. Say: “What could we ask? What if we changed one thing?”</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 me test it”</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one example, or a smaller case, before deciding. Say: “Pick one example and test it. What happens?”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always work?”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a second case before saying it works. Say: “Will it work with a different number? Test it.”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Explain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“Here is why”</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for the reason in the child's own words, said or written. Say: “How do you know? Tell it as if you were teaching a friend.”</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 back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I learn? What would I change?”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what was learnt and what they would change, after the work is done. Say: “What did you learn? What would you do differently next time?”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p>
      <w:pPr>
        <w:keepLines/>
        <w:spacing w:after="100" w:before="0" w:line="280" w:lineRule="auto"/>
      </w:pPr>
      <w:r>
        <w:rPr>
          <w:rFonts w:ascii="Arial" w:cs="Arial" w:eastAsia="Arial" w:hAnsi="Arial"/>
          <w:b/>
          <w:bCs/>
          <w:sz w:val="20"/>
          <w:szCs w:val="20"/>
        </w:rPr>
        <w:t xml:space="preserve">Focus habit: Wonder - Invite a question or a what-if before any answer is given. Say: “What could we ask? What if we changed one thing?”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p>
      <w:pPr>
        <w:keepLines/>
        <w:spacing w:after="100" w:before="0" w:line="280" w:lineRule="auto"/>
      </w:pPr>
      <w:r>
        <w:rPr>
          <w:rFonts w:ascii="Arial" w:cs="Arial" w:eastAsia="Arial" w:hAnsi="Arial"/>
          <w:b/>
          <w:bCs/>
          <w:sz w:val="20"/>
          <w:szCs w:val="20"/>
        </w:rPr>
        <w:t xml:space="preserve">Focus habit: Try - Ask the child to test one example, or a smaller case, before deciding. Say: “Pick one example and test it. What happens?”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from the answer and undo each step in reverse order, then check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47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p>
      <w:pPr>
        <w:keepLines/>
        <w:spacing w:after="100" w:before="0" w:line="280" w:lineRule="auto"/>
      </w:pPr>
      <w:r>
        <w:rPr>
          <w:rFonts w:ascii="Arial" w:cs="Arial" w:eastAsia="Arial" w:hAnsi="Arial"/>
          <w:b/>
          <w:bCs/>
          <w:sz w:val="20"/>
          <w:szCs w:val="20"/>
        </w:rPr>
        <w:t xml:space="preserve">Focus habit: Check - Ask the child to test a second case before saying it works. Say: “Will it work with a different number? Test it.”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Stretch beyond P4. Order of operations and brackets are in the MOE Primary 5 syllabus, not Primary 4, so this lesson is a Primary 5 preview. Never describe it as P4-aligned. The four-operation practice and the “times as many” bar-model problems are on the P4 level; say so if a parent asks.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Make a sensible guess, check it against every clue, improve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48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p>
      <w:pPr>
        <w:keepLines/>
        <w:spacing w:after="100" w:before="0" w:line="280" w:lineRule="auto"/>
      </w:pPr>
      <w:r>
        <w:rPr>
          <w:rFonts w:ascii="Arial" w:cs="Arial" w:eastAsia="Arial" w:hAnsi="Arial"/>
          <w:b/>
          <w:bCs/>
          <w:sz w:val="20"/>
          <w:szCs w:val="20"/>
        </w:rPr>
        <w:t xml:space="preserve">Focus habit: Explain - Ask for the reason in the child's own words, said or written. Say: “How do you know? Tell it as if you were teaching a friend.”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p>
      <w:pPr>
        <w:keepLines/>
        <w:spacing w:after="100" w:before="0" w:line="280" w:lineRule="auto"/>
      </w:pPr>
      <w:r>
        <w:rPr>
          <w:rFonts w:ascii="Arial" w:cs="Arial" w:eastAsia="Arial" w:hAnsi="Arial"/>
          <w:b/>
          <w:bCs/>
          <w:sz w:val="20"/>
          <w:szCs w:val="20"/>
        </w:rPr>
        <w:t xml:space="preserve">Focus habit: Look back - Ask what was learnt and what they would change, after the work is done. Say: “What did you learn? What would you do differently next time?”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p>
      <w:pPr>
        <w:keepLines/>
        <w:spacing w:after="100" w:before="0" w:line="280" w:lineRule="auto"/>
      </w:pPr>
      <w:r>
        <w:rPr>
          <w:rFonts w:ascii="Arial" w:cs="Arial" w:eastAsia="Arial" w:hAnsi="Arial"/>
          <w:b/>
          <w:bCs/>
          <w:sz w:val="20"/>
          <w:szCs w:val="20"/>
        </w:rPr>
        <w:t xml:space="preserve">Focus habit: Try - Ask the child to test one example, or a smaller case, before deciding. Say: “Pick one example and test it. What happens?”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Measuring and estimating angles with a protractor is a P4 topic. Finding unknown angles (angles in squares and rectangles, angles side by side) is stretch beyond P4: it is Primary 5 in the MOE syllabus. Clock-hand angles and the 8-point compass turns are enrichment: the primary syllabus does not list them. Never describe this lesson as P4-aligned.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11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11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p>
      <w:pPr>
        <w:keepLines/>
        <w:spacing w:after="100" w:before="0" w:line="280" w:lineRule="auto"/>
      </w:pPr>
      <w:r>
        <w:rPr>
          <w:rFonts w:ascii="Arial" w:cs="Arial" w:eastAsia="Arial" w:hAnsi="Arial"/>
          <w:b/>
          <w:bCs/>
          <w:sz w:val="20"/>
          <w:szCs w:val="20"/>
        </w:rPr>
        <w:t xml:space="preserve">Focus habit: Notice - Pause on the picture or the numbers and let the child say what they see before you name anything. Say: “What do you see? What stays the same, what changes?”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changes by the same amount, then say the rule.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83.5–87.5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p>
      <w:pPr>
        <w:keepLines/>
        <w:spacing w:after="100" w:before="0" w:line="280" w:lineRule="auto"/>
      </w:pPr>
      <w:r>
        <w:rPr>
          <w:rFonts w:ascii="Arial" w:cs="Arial" w:eastAsia="Arial" w:hAnsi="Arial"/>
          <w:b/>
          <w:bCs/>
          <w:sz w:val="20"/>
          <w:szCs w:val="20"/>
        </w:rPr>
        <w:t xml:space="preserve">Focus habit: Explain - Ask for the reason in the child's own words, said or written. Say: “How do you know? Tell it as if you were teaching a friend.”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Use objects, folding or a role-play to see what happens, then record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p>
      <w:pPr>
        <w:keepLines/>
        <w:spacing w:after="100" w:before="0" w:line="280" w:lineRule="auto"/>
      </w:pPr>
      <w:r>
        <w:rPr>
          <w:rFonts w:ascii="Arial" w:cs="Arial" w:eastAsia="Arial" w:hAnsi="Arial"/>
          <w:b/>
          <w:bCs/>
          <w:sz w:val="20"/>
          <w:szCs w:val="20"/>
        </w:rPr>
        <w:t xml:space="preserve">Focus habit: Check - Ask the child to test a second case before saying it works. Say: “Will it work with a different number? Test it.”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Make a table, fill it row by row and look down the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p>
      <w:pPr>
        <w:keepLines/>
        <w:spacing w:after="100" w:before="0" w:line="280" w:lineRule="auto"/>
      </w:pPr>
      <w:r>
        <w:rPr>
          <w:rFonts w:ascii="Arial" w:cs="Arial" w:eastAsia="Arial" w:hAnsi="Arial"/>
          <w:b/>
          <w:bCs/>
          <w:sz w:val="20"/>
          <w:szCs w:val="20"/>
        </w:rPr>
        <w:t xml:space="preserve">Focus habit: Look back - Ask what was learnt and what they would change, after the work is done. Say: “What did you learn? What would you do differently next time?”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76–80.5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80.5–85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9 to 11 (builds on Primary 4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2026-10-24T13:14:08.176Z</dcterms:created>
  <dcterms:modified xsi:type="dcterms:W3CDTF">2026-10-24T13:14:08.177Z</dcterms:modified>
</cp:coreProperties>
</file>

<file path=docProps/custom.xml><?xml version="1.0" encoding="utf-8"?>
<Properties xmlns="http://schemas.openxmlformats.org/officeDocument/2006/custom-properties" xmlns:vt="http://schemas.openxmlformats.org/officeDocument/2006/docPropsVTypes"/>
</file>