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8 to 10 (builds on Primary 3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then said together on three or ticked against the answer slide,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ticks the corrected page against the answer slide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“say it” once for both puzzles, say the answers together on three (nothing is held up to the camera,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 90-second timer inside the exit block: three questions, see the Toolbox and look-back section below).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Focus habit (every lesson)</w:t>
      </w:r>
    </w:p>
    <w:p>
      <w:pPr>
        <w:keepLines/>
        <w:spacing w:after="80" w:before="0" w:line="280" w:lineRule="auto"/>
      </w:pPr>
      <w:r>
        <w:rPr>
          <w:rFonts w:ascii="Arial" w:cs="Arial" w:eastAsia="Arial" w:hAnsi="Arial"/>
          <w:sz w:val="21"/>
          <w:szCs w:val="21"/>
        </w:rPr>
        <w:t xml:space="preserve">Every lesson names ONE focus habit on its front page, on the opening slide and on the look-back slide, and has one “explain your thinking” item in the online practice. The habit is something the children practise; you are not testing it. The same six habits are used at every level.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00"/>
      </w:tblGrid>
      <w:tr>
        <w:trPr>
          <w:cantSplit/>
        </w:trPr>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Habit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Child says</w:t>
            </w:r>
          </w:p>
        </w:tc>
        <w:tc>
          <w:tcPr>
            <w:tcW w:type="dxa" w:w="5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Your move and prompt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Notice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I see?”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on the picture or the numbers and let the child say what they see before you name anything. Say: “What do you see? What stays the same, what changes?”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Wonder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could I ask?”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Invite a question or a what-if before any answer is given. Say: “What could we ask? What if we changed one thing?”</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 me test it”</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one example, or a smaller case, before deciding. Say: “Pick one example and test it. What happens?”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always work?”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a second case before saying it works. Say: “Will it work with a different number? Test it.”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Explain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“Here is why”</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for the reason in the child's own words, said or written. Say: “How do you know? Tell it as if you were teaching a friend.”</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 back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I learn? What would I change?”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what was learnt and what they would change, after the work is done. Say: “What did you learn? What would you do differently next time?”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write on whiteboards and say the answer together on three.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check them against the grid slide the tutor shares;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tick it against the answer slide;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tick it against the answer slide;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tick it against the answer slide;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tick it against the answer slide;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write on whiteboards and say the answer together on three.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tick it against the answer slide;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tick it against the answer slide;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check them against the grid slide the tutor shares;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tick it against the answer slide;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tick it against the answer slide;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Make a table, fill it row by row and look down the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tick it against the answer slide;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tick it against the answer slide;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8 to 10 (builds on Primary 3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2026-10-24T13:14:07.507Z</dcterms:created>
  <dcterms:modified xsi:type="dcterms:W3CDTF">2026-10-24T13:14:07.507Z</dcterms:modified>
</cp:coreProperties>
</file>

<file path=docProps/custom.xml><?xml version="1.0" encoding="utf-8"?>
<Properties xmlns="http://schemas.openxmlformats.org/officeDocument/2006/custom-properties" xmlns:vt="http://schemas.openxmlformats.org/officeDocument/2006/docPropsVTypes"/>
</file>