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EndoLens AI E0 实验结果总结</w:t>
      </w:r>
    </w:p>
    <w:p>
      <w:pPr>
        <w:pStyle w:val="Subtitle"/>
      </w:pPr>
      <w:r>
        <w:t>固定 Polyp-PVT 基准评估  |  实验日期 2026 年 10 月 4 日</w:t>
      </w:r>
    </w:p>
    <w:p>
      <w:r>
        <w:t>E0 已完成全部 798 个测试条目的推理与评估，整体平均 Dice 为 0.8368，平均 IoU 为 0.7630。数据映射审计通过，保存的概率图、二值掩膜和逐图 Dice 经再次核验一致，可作为后续 U-Net 训练与决策层融合实验的固定参照。</w:t>
      </w:r>
    </w:p>
    <w:p>
      <w:pPr>
        <w:pStyle w:val="Heading1"/>
      </w:pPr>
      <w:r>
        <w:t>1 实验目的与完成情况</w:t>
      </w:r>
    </w:p>
    <w:p>
      <w:r>
        <w:t>本阶段评估项目中已有的 Polyp-PVT 权重，建立可复查的准确率和推理耗时基准，并保存后续融合需要的连续概率图。E0 未进行训练、微调或融合；本次结果不代表项目已实现模型改进。</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shd w:fill="234E70"/>
            <w:tcMar>
              <w:top w:w="85" w:type="dxa"/>
              <w:bottom w:w="85" w:type="dxa"/>
              <w:left w:w="85" w:type="dxa"/>
              <w:right w:w="85" w:type="dxa"/>
            </w:tcMar>
          </w:tcPr>
          <w:p>
            <w:pPr>
              <w:spacing w:after="0" w:line="264" w:lineRule="auto"/>
            </w:pPr>
            <w:r>
              <w:rPr>
                <w:b/>
                <w:color w:val="FFFFFF"/>
                <w:sz w:val="19"/>
              </w:rPr>
              <w:t>检查项目</w:t>
            </w:r>
          </w:p>
        </w:tc>
        <w:tc>
          <w:tcPr>
            <w:tcW w:type="dxa" w:w="7767"/>
            <w:shd w:fill="234E70"/>
            <w:tcMar>
              <w:top w:w="85" w:type="dxa"/>
              <w:bottom w:w="85" w:type="dxa"/>
              <w:left w:w="85" w:type="dxa"/>
              <w:right w:w="85" w:type="dxa"/>
            </w:tcMar>
          </w:tcPr>
          <w:p>
            <w:pPr>
              <w:spacing w:after="0" w:line="264" w:lineRule="auto"/>
            </w:pPr>
            <w:r>
              <w:rPr>
                <w:b/>
                <w:color w:val="FFFFFF"/>
                <w:sz w:val="19"/>
              </w:rPr>
              <w:t>结果</w:t>
            </w:r>
          </w:p>
        </w:tc>
      </w:tr>
      <w:tr>
        <w:trPr>
          <w:cantSplit/>
        </w:trPr>
        <w:tc>
          <w:tcPr>
            <w:tcW w:type="dxa" w:w="1871"/>
            <w:shd w:fill="FFFFFF"/>
            <w:tcMar>
              <w:top w:w="85" w:type="dxa"/>
              <w:bottom w:w="85" w:type="dxa"/>
              <w:left w:w="85" w:type="dxa"/>
              <w:right w:w="85" w:type="dxa"/>
            </w:tcMar>
          </w:tcPr>
          <w:p>
            <w:pPr>
              <w:spacing w:after="0" w:line="264" w:lineRule="auto"/>
            </w:pPr>
            <w:r>
              <w:rPr>
                <w:b w:val="0"/>
                <w:sz w:val="19"/>
              </w:rPr>
              <w:t>运行状态</w:t>
            </w:r>
          </w:p>
        </w:tc>
        <w:tc>
          <w:tcPr>
            <w:tcW w:type="dxa" w:w="7767"/>
            <w:shd w:fill="FFFFFF"/>
            <w:tcMar>
              <w:top w:w="85" w:type="dxa"/>
              <w:bottom w:w="85" w:type="dxa"/>
              <w:left w:w="85" w:type="dxa"/>
              <w:right w:w="85" w:type="dxa"/>
            </w:tcMar>
          </w:tcPr>
          <w:p>
            <w:pPr>
              <w:spacing w:after="0" w:line="264" w:lineRule="auto"/>
            </w:pPr>
            <w:r>
              <w:rPr>
                <w:b w:val="0"/>
                <w:sz w:val="19"/>
              </w:rPr>
              <w:t>COMPLETED / FULL_E0</w:t>
            </w:r>
          </w:p>
        </w:tc>
      </w:tr>
      <w:tr>
        <w:trPr>
          <w:cantSplit/>
        </w:trPr>
        <w:tc>
          <w:tcPr>
            <w:tcW w:type="dxa" w:w="1871"/>
            <w:shd w:fill="F1F5F8"/>
            <w:tcMar>
              <w:top w:w="85" w:type="dxa"/>
              <w:bottom w:w="85" w:type="dxa"/>
              <w:left w:w="85" w:type="dxa"/>
              <w:right w:w="85" w:type="dxa"/>
            </w:tcMar>
          </w:tcPr>
          <w:p>
            <w:pPr>
              <w:spacing w:after="0" w:line="264" w:lineRule="auto"/>
            </w:pPr>
            <w:r>
              <w:rPr>
                <w:b w:val="0"/>
                <w:sz w:val="19"/>
              </w:rPr>
              <w:t>完成数量</w:t>
            </w:r>
          </w:p>
        </w:tc>
        <w:tc>
          <w:tcPr>
            <w:tcW w:type="dxa" w:w="7767"/>
            <w:shd w:fill="F1F5F8"/>
            <w:tcMar>
              <w:top w:w="85" w:type="dxa"/>
              <w:bottom w:w="85" w:type="dxa"/>
              <w:left w:w="85" w:type="dxa"/>
              <w:right w:w="85" w:type="dxa"/>
            </w:tcMar>
          </w:tcPr>
          <w:p>
            <w:pPr>
              <w:spacing w:after="0" w:line="264" w:lineRule="auto"/>
            </w:pPr>
            <w:r>
              <w:rPr>
                <w:b w:val="0"/>
                <w:sz w:val="19"/>
              </w:rPr>
              <w:t>798 / 798，覆盖五个测试子集</w:t>
            </w:r>
          </w:p>
        </w:tc>
      </w:tr>
      <w:tr>
        <w:trPr>
          <w:cantSplit/>
        </w:trPr>
        <w:tc>
          <w:tcPr>
            <w:tcW w:type="dxa" w:w="1871"/>
            <w:shd w:fill="FFFFFF"/>
            <w:tcMar>
              <w:top w:w="85" w:type="dxa"/>
              <w:bottom w:w="85" w:type="dxa"/>
              <w:left w:w="85" w:type="dxa"/>
              <w:right w:w="85" w:type="dxa"/>
            </w:tcMar>
          </w:tcPr>
          <w:p>
            <w:pPr>
              <w:spacing w:after="0" w:line="264" w:lineRule="auto"/>
            </w:pPr>
            <w:r>
              <w:rPr>
                <w:b w:val="0"/>
                <w:sz w:val="19"/>
              </w:rPr>
              <w:t>数据审计</w:t>
            </w:r>
          </w:p>
        </w:tc>
        <w:tc>
          <w:tcPr>
            <w:tcW w:type="dxa" w:w="7767"/>
            <w:shd w:fill="FFFFFF"/>
            <w:tcMar>
              <w:top w:w="85" w:type="dxa"/>
              <w:bottom w:w="85" w:type="dxa"/>
              <w:left w:w="85" w:type="dxa"/>
              <w:right w:w="85" w:type="dxa"/>
            </w:tcMar>
          </w:tcPr>
          <w:p>
            <w:pPr>
              <w:spacing w:after="0" w:line="264" w:lineRule="auto"/>
            </w:pPr>
            <w:r>
              <w:rPr>
                <w:b w:val="0"/>
                <w:sz w:val="19"/>
              </w:rPr>
              <w:t>通过；图像与掩膜配对、子集映射、内容与尺寸一致</w:t>
            </w:r>
          </w:p>
        </w:tc>
      </w:tr>
      <w:tr>
        <w:trPr>
          <w:cantSplit/>
        </w:trPr>
        <w:tc>
          <w:tcPr>
            <w:tcW w:type="dxa" w:w="1871"/>
            <w:shd w:fill="F1F5F8"/>
            <w:tcMar>
              <w:top w:w="85" w:type="dxa"/>
              <w:bottom w:w="85" w:type="dxa"/>
              <w:left w:w="85" w:type="dxa"/>
              <w:right w:w="85" w:type="dxa"/>
            </w:tcMar>
          </w:tcPr>
          <w:p>
            <w:pPr>
              <w:spacing w:after="0" w:line="264" w:lineRule="auto"/>
            </w:pPr>
            <w:r>
              <w:rPr>
                <w:b w:val="0"/>
                <w:sz w:val="19"/>
              </w:rPr>
              <w:t>结果复核</w:t>
            </w:r>
          </w:p>
        </w:tc>
        <w:tc>
          <w:tcPr>
            <w:tcW w:type="dxa" w:w="7767"/>
            <w:shd w:fill="F1F5F8"/>
            <w:tcMar>
              <w:top w:w="85" w:type="dxa"/>
              <w:bottom w:w="85" w:type="dxa"/>
              <w:left w:w="85" w:type="dxa"/>
              <w:right w:w="85" w:type="dxa"/>
            </w:tcMar>
          </w:tcPr>
          <w:p>
            <w:pPr>
              <w:spacing w:after="0" w:line="264" w:lineRule="auto"/>
            </w:pPr>
            <w:r>
              <w:rPr>
                <w:b w:val="0"/>
                <w:sz w:val="19"/>
              </w:rPr>
              <w:t>798 份 NPZ 和二值掩膜全部通过一致性检查；逐图 TP、FP、FN 与 Dice 重算一致</w:t>
            </w:r>
          </w:p>
        </w:tc>
      </w:tr>
      <w:tr>
        <w:trPr>
          <w:cantSplit/>
        </w:trPr>
        <w:tc>
          <w:tcPr>
            <w:tcW w:type="dxa" w:w="1871"/>
            <w:shd w:fill="FFFFFF"/>
            <w:tcMar>
              <w:top w:w="85" w:type="dxa"/>
              <w:bottom w:w="85" w:type="dxa"/>
              <w:left w:w="85" w:type="dxa"/>
              <w:right w:w="85" w:type="dxa"/>
            </w:tcMar>
          </w:tcPr>
          <w:p>
            <w:pPr>
              <w:spacing w:after="0" w:line="264" w:lineRule="auto"/>
            </w:pPr>
            <w:r>
              <w:rPr>
                <w:b w:val="0"/>
                <w:sz w:val="19"/>
              </w:rPr>
              <w:t>运行时间</w:t>
            </w:r>
          </w:p>
        </w:tc>
        <w:tc>
          <w:tcPr>
            <w:tcW w:type="dxa" w:w="7767"/>
            <w:shd w:fill="FFFFFF"/>
            <w:tcMar>
              <w:top w:w="85" w:type="dxa"/>
              <w:bottom w:w="85" w:type="dxa"/>
              <w:left w:w="85" w:type="dxa"/>
              <w:right w:w="85" w:type="dxa"/>
            </w:tcMar>
          </w:tcPr>
          <w:p>
            <w:pPr>
              <w:spacing w:after="0" w:line="264" w:lineRule="auto"/>
            </w:pPr>
            <w:r>
              <w:rPr>
                <w:b w:val="0"/>
                <w:sz w:val="19"/>
              </w:rPr>
              <w:t>新加坡时间 22:13:45 至 22:17:55，约 4 分 9 秒</w:t>
            </w:r>
          </w:p>
        </w:tc>
      </w:tr>
      <w:tr>
        <w:trPr>
          <w:cantSplit/>
        </w:trPr>
        <w:tc>
          <w:tcPr>
            <w:tcW w:type="dxa" w:w="1871"/>
            <w:shd w:fill="F1F5F8"/>
            <w:tcMar>
              <w:top w:w="85" w:type="dxa"/>
              <w:bottom w:w="85" w:type="dxa"/>
              <w:left w:w="85" w:type="dxa"/>
              <w:right w:w="85" w:type="dxa"/>
            </w:tcMar>
          </w:tcPr>
          <w:p>
            <w:pPr>
              <w:spacing w:after="0" w:line="264" w:lineRule="auto"/>
            </w:pPr>
            <w:r>
              <w:rPr>
                <w:b w:val="0"/>
                <w:sz w:val="19"/>
              </w:rPr>
              <w:t>模型权重</w:t>
            </w:r>
          </w:p>
        </w:tc>
        <w:tc>
          <w:tcPr>
            <w:tcW w:type="dxa" w:w="7767"/>
            <w:shd w:fill="F1F5F8"/>
            <w:tcMar>
              <w:top w:w="85" w:type="dxa"/>
              <w:bottom w:w="85" w:type="dxa"/>
              <w:left w:w="85" w:type="dxa"/>
              <w:right w:w="85" w:type="dxa"/>
            </w:tcMar>
          </w:tcPr>
          <w:p>
            <w:pPr>
              <w:spacing w:after="0" w:line="264" w:lineRule="auto"/>
            </w:pPr>
            <w:r>
              <w:rPr>
                <w:b w:val="0"/>
                <w:sz w:val="19"/>
              </w:rPr>
              <w:t>model_pth/PolypPVT.pth；全程固定</w:t>
            </w:r>
          </w:p>
        </w:tc>
      </w:tr>
    </w:tbl>
    <w:p>
      <w:pPr>
        <w:spacing w:after="0" w:line="60" w:lineRule="exact" w:before="0"/>
      </w:pPr>
    </w:p>
    <w:p>
      <w:pPr>
        <w:pStyle w:val="Heading1"/>
      </w:pPr>
      <w:r>
        <w:t>2 实验环境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shd w:fill="234E70"/>
            <w:tcMar>
              <w:top w:w="85" w:type="dxa"/>
              <w:bottom w:w="85" w:type="dxa"/>
              <w:left w:w="85" w:type="dxa"/>
              <w:right w:w="85" w:type="dxa"/>
            </w:tcMar>
          </w:tcPr>
          <w:p>
            <w:pPr>
              <w:spacing w:after="0" w:line="264" w:lineRule="auto"/>
            </w:pPr>
            <w:r>
              <w:rPr>
                <w:b/>
                <w:color w:val="FFFFFF"/>
                <w:sz w:val="19"/>
              </w:rPr>
              <w:t>配置项</w:t>
            </w:r>
          </w:p>
        </w:tc>
        <w:tc>
          <w:tcPr>
            <w:tcW w:type="dxa" w:w="7767"/>
            <w:shd w:fill="234E70"/>
            <w:tcMar>
              <w:top w:w="85" w:type="dxa"/>
              <w:bottom w:w="85" w:type="dxa"/>
              <w:left w:w="85" w:type="dxa"/>
              <w:right w:w="85" w:type="dxa"/>
            </w:tcMar>
          </w:tcPr>
          <w:p>
            <w:pPr>
              <w:spacing w:after="0" w:line="264" w:lineRule="auto"/>
            </w:pPr>
            <w:r>
              <w:rPr>
                <w:b/>
                <w:color w:val="FFFFFF"/>
                <w:sz w:val="19"/>
              </w:rPr>
              <w:t>实际配置</w:t>
            </w:r>
          </w:p>
        </w:tc>
      </w:tr>
      <w:tr>
        <w:trPr>
          <w:cantSplit/>
        </w:trPr>
        <w:tc>
          <w:tcPr>
            <w:tcW w:type="dxa" w:w="1871"/>
            <w:shd w:fill="FFFFFF"/>
            <w:tcMar>
              <w:top w:w="85" w:type="dxa"/>
              <w:bottom w:w="85" w:type="dxa"/>
              <w:left w:w="85" w:type="dxa"/>
              <w:right w:w="85" w:type="dxa"/>
            </w:tcMar>
          </w:tcPr>
          <w:p>
            <w:pPr>
              <w:spacing w:after="0" w:line="264" w:lineRule="auto"/>
            </w:pPr>
            <w:r>
              <w:rPr>
                <w:b w:val="0"/>
                <w:sz w:val="19"/>
              </w:rPr>
              <w:t>系统与设备</w:t>
            </w:r>
          </w:p>
        </w:tc>
        <w:tc>
          <w:tcPr>
            <w:tcW w:type="dxa" w:w="7767"/>
            <w:shd w:fill="FFFFFF"/>
            <w:tcMar>
              <w:top w:w="85" w:type="dxa"/>
              <w:bottom w:w="85" w:type="dxa"/>
              <w:left w:w="85" w:type="dxa"/>
              <w:right w:w="85" w:type="dxa"/>
            </w:tcMar>
          </w:tcPr>
          <w:p>
            <w:pPr>
              <w:spacing w:after="0" w:line="264" w:lineRule="auto"/>
            </w:pPr>
            <w:r>
              <w:rPr>
                <w:b w:val="0"/>
                <w:sz w:val="19"/>
              </w:rPr>
              <w:t>macOS 26.6.2 / arm64；CPU 推理，4 个 PyTorch 线程</w:t>
            </w:r>
          </w:p>
        </w:tc>
      </w:tr>
      <w:tr>
        <w:trPr>
          <w:cantSplit/>
        </w:trPr>
        <w:tc>
          <w:tcPr>
            <w:tcW w:type="dxa" w:w="1871"/>
            <w:shd w:fill="F1F5F8"/>
            <w:tcMar>
              <w:top w:w="85" w:type="dxa"/>
              <w:bottom w:w="85" w:type="dxa"/>
              <w:left w:w="85" w:type="dxa"/>
              <w:right w:w="85" w:type="dxa"/>
            </w:tcMar>
          </w:tcPr>
          <w:p>
            <w:pPr>
              <w:spacing w:after="0" w:line="264" w:lineRule="auto"/>
            </w:pPr>
            <w:r>
              <w:rPr>
                <w:b w:val="0"/>
                <w:sz w:val="19"/>
              </w:rPr>
              <w:t>运行方式</w:t>
            </w:r>
          </w:p>
        </w:tc>
        <w:tc>
          <w:tcPr>
            <w:tcW w:type="dxa" w:w="7767"/>
            <w:shd w:fill="F1F5F8"/>
            <w:tcMar>
              <w:top w:w="85" w:type="dxa"/>
              <w:bottom w:w="85" w:type="dxa"/>
              <w:left w:w="85" w:type="dxa"/>
              <w:right w:w="85" w:type="dxa"/>
            </w:tcMar>
          </w:tcPr>
          <w:p>
            <w:pPr>
              <w:spacing w:after="0" w:line="264" w:lineRule="auto"/>
            </w:pPr>
            <w:r>
              <w:rPr>
                <w:b w:val="0"/>
                <w:sz w:val="19"/>
              </w:rPr>
              <w:t>batch size 1；float32；预热 3 次</w:t>
            </w:r>
          </w:p>
        </w:tc>
      </w:tr>
      <w:tr>
        <w:trPr>
          <w:cantSplit/>
        </w:trPr>
        <w:tc>
          <w:tcPr>
            <w:tcW w:type="dxa" w:w="1871"/>
            <w:shd w:fill="FFFFFF"/>
            <w:tcMar>
              <w:top w:w="85" w:type="dxa"/>
              <w:bottom w:w="85" w:type="dxa"/>
              <w:left w:w="85" w:type="dxa"/>
              <w:right w:w="85" w:type="dxa"/>
            </w:tcMar>
          </w:tcPr>
          <w:p>
            <w:pPr>
              <w:spacing w:after="0" w:line="264" w:lineRule="auto"/>
            </w:pPr>
            <w:r>
              <w:rPr>
                <w:b w:val="0"/>
                <w:sz w:val="19"/>
              </w:rPr>
              <w:t>Python 与深度学习库</w:t>
            </w:r>
          </w:p>
        </w:tc>
        <w:tc>
          <w:tcPr>
            <w:tcW w:type="dxa" w:w="7767"/>
            <w:shd w:fill="FFFFFF"/>
            <w:tcMar>
              <w:top w:w="85" w:type="dxa"/>
              <w:bottom w:w="85" w:type="dxa"/>
              <w:left w:w="85" w:type="dxa"/>
              <w:right w:w="85" w:type="dxa"/>
            </w:tcMar>
          </w:tcPr>
          <w:p>
            <w:pPr>
              <w:spacing w:after="0" w:line="264" w:lineRule="auto"/>
            </w:pPr>
            <w:r>
              <w:rPr>
                <w:b w:val="0"/>
                <w:sz w:val="19"/>
              </w:rPr>
              <w:t>Python 3.10.21；PyTorch 2.2.2；torchvision 0.17.2</w:t>
            </w:r>
          </w:p>
        </w:tc>
      </w:tr>
      <w:tr>
        <w:trPr>
          <w:cantSplit/>
        </w:trPr>
        <w:tc>
          <w:tcPr>
            <w:tcW w:type="dxa" w:w="1871"/>
            <w:shd w:fill="F1F5F8"/>
            <w:tcMar>
              <w:top w:w="85" w:type="dxa"/>
              <w:bottom w:w="85" w:type="dxa"/>
              <w:left w:w="85" w:type="dxa"/>
              <w:right w:w="85" w:type="dxa"/>
            </w:tcMar>
          </w:tcPr>
          <w:p>
            <w:pPr>
              <w:spacing w:after="0" w:line="264" w:lineRule="auto"/>
            </w:pPr>
            <w:r>
              <w:rPr>
                <w:b w:val="0"/>
                <w:sz w:val="19"/>
              </w:rPr>
              <w:t>其他关键依赖</w:t>
            </w:r>
          </w:p>
        </w:tc>
        <w:tc>
          <w:tcPr>
            <w:tcW w:type="dxa" w:w="7767"/>
            <w:shd w:fill="F1F5F8"/>
            <w:tcMar>
              <w:top w:w="85" w:type="dxa"/>
              <w:bottom w:w="85" w:type="dxa"/>
              <w:left w:w="85" w:type="dxa"/>
              <w:right w:w="85" w:type="dxa"/>
            </w:tcMar>
          </w:tcPr>
          <w:p>
            <w:pPr>
              <w:spacing w:after="0" w:line="264" w:lineRule="auto"/>
            </w:pPr>
            <w:r>
              <w:rPr>
                <w:b w:val="0"/>
                <w:sz w:val="19"/>
              </w:rPr>
              <w:t>timm 0.4.12；NumPy 1.26.4；Pillow 10.2.0</w:t>
            </w:r>
          </w:p>
        </w:tc>
      </w:tr>
      <w:tr>
        <w:trPr>
          <w:cantSplit/>
        </w:trPr>
        <w:tc>
          <w:tcPr>
            <w:tcW w:type="dxa" w:w="1871"/>
            <w:shd w:fill="FFFFFF"/>
            <w:tcMar>
              <w:top w:w="85" w:type="dxa"/>
              <w:bottom w:w="85" w:type="dxa"/>
              <w:left w:w="85" w:type="dxa"/>
              <w:right w:w="85" w:type="dxa"/>
            </w:tcMar>
          </w:tcPr>
          <w:p>
            <w:pPr>
              <w:spacing w:after="0" w:line="264" w:lineRule="auto"/>
            </w:pPr>
            <w:r>
              <w:rPr>
                <w:b w:val="0"/>
                <w:sz w:val="19"/>
              </w:rPr>
              <w:t>输入与阈值</w:t>
            </w:r>
          </w:p>
        </w:tc>
        <w:tc>
          <w:tcPr>
            <w:tcW w:type="dxa" w:w="7767"/>
            <w:shd w:fill="FFFFFF"/>
            <w:tcMar>
              <w:top w:w="85" w:type="dxa"/>
              <w:bottom w:w="85" w:type="dxa"/>
              <w:left w:w="85" w:type="dxa"/>
              <w:right w:w="85" w:type="dxa"/>
            </w:tcMar>
          </w:tcPr>
          <w:p>
            <w:pPr>
              <w:spacing w:after="0" w:line="264" w:lineRule="auto"/>
            </w:pPr>
            <w:r>
              <w:rPr>
                <w:b w:val="0"/>
                <w:sz w:val="19"/>
              </w:rPr>
              <w:t>RGB 352 × 352；ImageNet 标准化；概率阈值 0.5</w:t>
            </w:r>
          </w:p>
        </w:tc>
      </w:tr>
    </w:tbl>
    <w:p>
      <w:pPr>
        <w:spacing w:after="0" w:line="60" w:lineRule="exact" w:before="0"/>
      </w:pPr>
    </w:p>
    <w:p>
      <w:r>
        <w:t>数据沿用现有 Polyp-PVT 测试划分。ALL 表示合并测试集的按图像条目加权平均，而非五个子集分数的等权平均。</w:t>
      </w:r>
    </w:p>
    <w:p>
      <w:r>
        <w:br w:type="page"/>
      </w:r>
    </w:p>
    <w:p>
      <w:pPr>
        <w:pStyle w:val="Heading1"/>
      </w:pPr>
      <w:r>
        <w:t>3 整体与分数据集结果</w:t>
      </w:r>
    </w:p>
    <w:p>
      <w:r>
        <w:t>主结果采用未做逐图 min–max 归一化的 sigmoid 概率，在原始图像分辨率上以 0.5 阈值生成掩膜。Dice 与 IoU 均先逐图计算，再在相应分组内求算术平均；MAE 为概率图与二值标注之间的平均绝对误差。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850"/>
        <w:gridCol w:w="1871"/>
        <w:gridCol w:w="1871"/>
        <w:gridCol w:w="1928"/>
      </w:tblGrid>
      <w:tr>
        <w:trPr>
          <w:cantSplit/>
          <w:tblHeader/>
        </w:trPr>
        <w:tc>
          <w:tcPr>
            <w:tcW w:type="dxa" w:w="3118"/>
            <w:shd w:fill="234E70"/>
            <w:tcMar>
              <w:top w:w="85" w:type="dxa"/>
              <w:bottom w:w="85" w:type="dxa"/>
              <w:left w:w="85" w:type="dxa"/>
              <w:right w:w="85" w:type="dxa"/>
            </w:tcMar>
          </w:tcPr>
          <w:p>
            <w:pPr>
              <w:spacing w:after="0" w:line="264" w:lineRule="auto"/>
            </w:pPr>
            <w:r>
              <w:rPr>
                <w:b/>
                <w:color w:val="FFFFFF"/>
                <w:sz w:val="19"/>
              </w:rPr>
              <w:t>测试集</w:t>
            </w:r>
          </w:p>
        </w:tc>
        <w:tc>
          <w:tcPr>
            <w:tcW w:type="dxa" w:w="850"/>
            <w:shd w:fill="234E70"/>
            <w:tcMar>
              <w:top w:w="85" w:type="dxa"/>
              <w:bottom w:w="85" w:type="dxa"/>
              <w:left w:w="85" w:type="dxa"/>
              <w:right w:w="85" w:type="dxa"/>
            </w:tcMar>
          </w:tcPr>
          <w:p>
            <w:pPr>
              <w:spacing w:after="0" w:line="264" w:lineRule="auto"/>
              <w:jc w:val="center"/>
            </w:pPr>
            <w:r>
              <w:rPr>
                <w:b/>
                <w:color w:val="FFFFFF"/>
                <w:sz w:val="19"/>
              </w:rPr>
              <w:t>数量</w:t>
            </w:r>
          </w:p>
        </w:tc>
        <w:tc>
          <w:tcPr>
            <w:tcW w:type="dxa" w:w="1871"/>
            <w:shd w:fill="234E70"/>
            <w:tcMar>
              <w:top w:w="85" w:type="dxa"/>
              <w:bottom w:w="85" w:type="dxa"/>
              <w:left w:w="85" w:type="dxa"/>
              <w:right w:w="85" w:type="dxa"/>
            </w:tcMar>
          </w:tcPr>
          <w:p>
            <w:pPr>
              <w:spacing w:after="0" w:line="264" w:lineRule="auto"/>
              <w:jc w:val="center"/>
            </w:pPr>
            <w:r>
              <w:rPr>
                <w:b/>
                <w:color w:val="FFFFFF"/>
                <w:sz w:val="19"/>
              </w:rPr>
              <w:t>Dice ↑</w:t>
            </w:r>
          </w:p>
        </w:tc>
        <w:tc>
          <w:tcPr>
            <w:tcW w:type="dxa" w:w="1871"/>
            <w:shd w:fill="234E70"/>
            <w:tcMar>
              <w:top w:w="85" w:type="dxa"/>
              <w:bottom w:w="85" w:type="dxa"/>
              <w:left w:w="85" w:type="dxa"/>
              <w:right w:w="85" w:type="dxa"/>
            </w:tcMar>
          </w:tcPr>
          <w:p>
            <w:pPr>
              <w:spacing w:after="0" w:line="264" w:lineRule="auto"/>
              <w:jc w:val="center"/>
            </w:pPr>
            <w:r>
              <w:rPr>
                <w:b/>
                <w:color w:val="FFFFFF"/>
                <w:sz w:val="19"/>
              </w:rPr>
              <w:t>IoU ↑</w:t>
            </w:r>
          </w:p>
        </w:tc>
        <w:tc>
          <w:tcPr>
            <w:tcW w:type="dxa" w:w="1928"/>
            <w:shd w:fill="234E70"/>
            <w:tcMar>
              <w:top w:w="85" w:type="dxa"/>
              <w:bottom w:w="85" w:type="dxa"/>
              <w:left w:w="85" w:type="dxa"/>
              <w:right w:w="85" w:type="dxa"/>
            </w:tcMar>
          </w:tcPr>
          <w:p>
            <w:pPr>
              <w:spacing w:after="0" w:line="264" w:lineRule="auto"/>
              <w:jc w:val="center"/>
            </w:pPr>
            <w:r>
              <w:rPr>
                <w:b/>
                <w:color w:val="FFFFFF"/>
                <w:sz w:val="19"/>
              </w:rPr>
              <w:t>MAE ↓</w:t>
            </w:r>
          </w:p>
        </w:tc>
      </w:tr>
      <w:tr>
        <w:trPr>
          <w:cantSplit/>
        </w:trPr>
        <w:tc>
          <w:tcPr>
            <w:tcW w:type="dxa" w:w="3118"/>
            <w:shd w:fill="FFFFFF"/>
            <w:tcMar>
              <w:top w:w="85" w:type="dxa"/>
              <w:bottom w:w="85" w:type="dxa"/>
              <w:left w:w="85" w:type="dxa"/>
              <w:right w:w="85" w:type="dxa"/>
            </w:tcMar>
          </w:tcPr>
          <w:p>
            <w:pPr>
              <w:spacing w:after="0" w:line="264" w:lineRule="auto"/>
            </w:pPr>
            <w:r>
              <w:rPr>
                <w:b w:val="0"/>
                <w:sz w:val="19"/>
              </w:rPr>
              <w:t>ALL</w:t>
            </w:r>
          </w:p>
        </w:tc>
        <w:tc>
          <w:tcPr>
            <w:tcW w:type="dxa" w:w="850"/>
            <w:shd w:fill="FFFFFF"/>
            <w:tcMar>
              <w:top w:w="85" w:type="dxa"/>
              <w:bottom w:w="85" w:type="dxa"/>
              <w:left w:w="85" w:type="dxa"/>
              <w:right w:w="85" w:type="dxa"/>
            </w:tcMar>
          </w:tcPr>
          <w:p>
            <w:pPr>
              <w:spacing w:after="0" w:line="264" w:lineRule="auto"/>
              <w:jc w:val="center"/>
            </w:pPr>
            <w:r>
              <w:rPr>
                <w:b w:val="0"/>
                <w:sz w:val="19"/>
              </w:rPr>
              <w:t>798</w:t>
            </w:r>
          </w:p>
        </w:tc>
        <w:tc>
          <w:tcPr>
            <w:tcW w:type="dxa" w:w="1871"/>
            <w:shd w:fill="FFFFFF"/>
            <w:tcMar>
              <w:top w:w="85" w:type="dxa"/>
              <w:bottom w:w="85" w:type="dxa"/>
              <w:left w:w="85" w:type="dxa"/>
              <w:right w:w="85" w:type="dxa"/>
            </w:tcMar>
          </w:tcPr>
          <w:p>
            <w:pPr>
              <w:spacing w:after="0" w:line="264" w:lineRule="auto"/>
              <w:jc w:val="center"/>
            </w:pPr>
            <w:r>
              <w:rPr>
                <w:b w:val="0"/>
                <w:sz w:val="19"/>
              </w:rPr>
              <w:t>0.8368</w:t>
            </w:r>
          </w:p>
        </w:tc>
        <w:tc>
          <w:tcPr>
            <w:tcW w:type="dxa" w:w="1871"/>
            <w:shd w:fill="FFFFFF"/>
            <w:tcMar>
              <w:top w:w="85" w:type="dxa"/>
              <w:bottom w:w="85" w:type="dxa"/>
              <w:left w:w="85" w:type="dxa"/>
              <w:right w:w="85" w:type="dxa"/>
            </w:tcMar>
          </w:tcPr>
          <w:p>
            <w:pPr>
              <w:spacing w:after="0" w:line="264" w:lineRule="auto"/>
              <w:jc w:val="center"/>
            </w:pPr>
            <w:r>
              <w:rPr>
                <w:b w:val="0"/>
                <w:sz w:val="19"/>
              </w:rPr>
              <w:t>0.7630</w:t>
            </w:r>
          </w:p>
        </w:tc>
        <w:tc>
          <w:tcPr>
            <w:tcW w:type="dxa" w:w="1928"/>
            <w:shd w:fill="FFFFFF"/>
            <w:tcMar>
              <w:top w:w="85" w:type="dxa"/>
              <w:bottom w:w="85" w:type="dxa"/>
              <w:left w:w="85" w:type="dxa"/>
              <w:right w:w="85" w:type="dxa"/>
            </w:tcMar>
          </w:tcPr>
          <w:p>
            <w:pPr>
              <w:spacing w:after="0" w:line="264" w:lineRule="auto"/>
              <w:jc w:val="center"/>
            </w:pPr>
            <w:r>
              <w:rPr>
                <w:b w:val="0"/>
                <w:sz w:val="19"/>
              </w:rPr>
              <w:t>0.02185</w:t>
            </w:r>
          </w:p>
        </w:tc>
      </w:tr>
      <w:tr>
        <w:trPr>
          <w:cantSplit/>
        </w:trPr>
        <w:tc>
          <w:tcPr>
            <w:tcW w:type="dxa" w:w="3118"/>
            <w:shd w:fill="F1F5F8"/>
            <w:tcMar>
              <w:top w:w="85" w:type="dxa"/>
              <w:bottom w:w="85" w:type="dxa"/>
              <w:left w:w="85" w:type="dxa"/>
              <w:right w:w="85" w:type="dxa"/>
            </w:tcMar>
          </w:tcPr>
          <w:p>
            <w:pPr>
              <w:spacing w:after="0" w:line="264" w:lineRule="auto"/>
            </w:pPr>
            <w:r>
              <w:rPr>
                <w:b w:val="0"/>
                <w:sz w:val="19"/>
              </w:rPr>
              <w:t>Kvasir</w:t>
            </w:r>
          </w:p>
        </w:tc>
        <w:tc>
          <w:tcPr>
            <w:tcW w:type="dxa" w:w="850"/>
            <w:shd w:fill="F1F5F8"/>
            <w:tcMar>
              <w:top w:w="85" w:type="dxa"/>
              <w:bottom w:w="85" w:type="dxa"/>
              <w:left w:w="85" w:type="dxa"/>
              <w:right w:w="85" w:type="dxa"/>
            </w:tcMar>
          </w:tcPr>
          <w:p>
            <w:pPr>
              <w:spacing w:after="0" w:line="264" w:lineRule="auto"/>
              <w:jc w:val="center"/>
            </w:pPr>
            <w:r>
              <w:rPr>
                <w:b w:val="0"/>
                <w:sz w:val="19"/>
              </w:rPr>
              <w:t>100</w:t>
            </w:r>
          </w:p>
        </w:tc>
        <w:tc>
          <w:tcPr>
            <w:tcW w:type="dxa" w:w="1871"/>
            <w:shd w:fill="F1F5F8"/>
            <w:tcMar>
              <w:top w:w="85" w:type="dxa"/>
              <w:bottom w:w="85" w:type="dxa"/>
              <w:left w:w="85" w:type="dxa"/>
              <w:right w:w="85" w:type="dxa"/>
            </w:tcMar>
          </w:tcPr>
          <w:p>
            <w:pPr>
              <w:spacing w:after="0" w:line="264" w:lineRule="auto"/>
              <w:jc w:val="center"/>
            </w:pPr>
            <w:r>
              <w:rPr>
                <w:b w:val="0"/>
                <w:sz w:val="19"/>
              </w:rPr>
              <w:t>0.9204</w:t>
            </w:r>
          </w:p>
        </w:tc>
        <w:tc>
          <w:tcPr>
            <w:tcW w:type="dxa" w:w="1871"/>
            <w:shd w:fill="F1F5F8"/>
            <w:tcMar>
              <w:top w:w="85" w:type="dxa"/>
              <w:bottom w:w="85" w:type="dxa"/>
              <w:left w:w="85" w:type="dxa"/>
              <w:right w:w="85" w:type="dxa"/>
            </w:tcMar>
          </w:tcPr>
          <w:p>
            <w:pPr>
              <w:spacing w:after="0" w:line="264" w:lineRule="auto"/>
              <w:jc w:val="center"/>
            </w:pPr>
            <w:r>
              <w:rPr>
                <w:b w:val="0"/>
                <w:sz w:val="19"/>
              </w:rPr>
              <w:t>0.8676</w:t>
            </w:r>
          </w:p>
        </w:tc>
        <w:tc>
          <w:tcPr>
            <w:tcW w:type="dxa" w:w="1928"/>
            <w:shd w:fill="F1F5F8"/>
            <w:tcMar>
              <w:top w:w="85" w:type="dxa"/>
              <w:bottom w:w="85" w:type="dxa"/>
              <w:left w:w="85" w:type="dxa"/>
              <w:right w:w="85" w:type="dxa"/>
            </w:tcMar>
          </w:tcPr>
          <w:p>
            <w:pPr>
              <w:spacing w:after="0" w:line="264" w:lineRule="auto"/>
              <w:jc w:val="center"/>
            </w:pPr>
            <w:r>
              <w:rPr>
                <w:b w:val="0"/>
                <w:sz w:val="19"/>
              </w:rPr>
              <w:t>0.02285</w:t>
            </w:r>
          </w:p>
        </w:tc>
      </w:tr>
      <w:tr>
        <w:trPr>
          <w:cantSplit/>
        </w:trPr>
        <w:tc>
          <w:tcPr>
            <w:tcW w:type="dxa" w:w="3118"/>
            <w:shd w:fill="FFFFFF"/>
            <w:tcMar>
              <w:top w:w="85" w:type="dxa"/>
              <w:bottom w:w="85" w:type="dxa"/>
              <w:left w:w="85" w:type="dxa"/>
              <w:right w:w="85" w:type="dxa"/>
            </w:tcMar>
          </w:tcPr>
          <w:p>
            <w:pPr>
              <w:spacing w:after="0" w:line="264" w:lineRule="auto"/>
            </w:pPr>
            <w:r>
              <w:rPr>
                <w:b w:val="0"/>
                <w:sz w:val="19"/>
              </w:rPr>
              <w:t>CVC-ClinicDB</w:t>
            </w:r>
          </w:p>
        </w:tc>
        <w:tc>
          <w:tcPr>
            <w:tcW w:type="dxa" w:w="850"/>
            <w:shd w:fill="FFFFFF"/>
            <w:tcMar>
              <w:top w:w="85" w:type="dxa"/>
              <w:bottom w:w="85" w:type="dxa"/>
              <w:left w:w="85" w:type="dxa"/>
              <w:right w:w="85" w:type="dxa"/>
            </w:tcMar>
          </w:tcPr>
          <w:p>
            <w:pPr>
              <w:spacing w:after="0" w:line="264" w:lineRule="auto"/>
              <w:jc w:val="center"/>
            </w:pPr>
            <w:r>
              <w:rPr>
                <w:b w:val="0"/>
                <w:sz w:val="19"/>
              </w:rPr>
              <w:t>62</w:t>
            </w:r>
          </w:p>
        </w:tc>
        <w:tc>
          <w:tcPr>
            <w:tcW w:type="dxa" w:w="1871"/>
            <w:shd w:fill="FFFFFF"/>
            <w:tcMar>
              <w:top w:w="85" w:type="dxa"/>
              <w:bottom w:w="85" w:type="dxa"/>
              <w:left w:w="85" w:type="dxa"/>
              <w:right w:w="85" w:type="dxa"/>
            </w:tcMar>
          </w:tcPr>
          <w:p>
            <w:pPr>
              <w:spacing w:after="0" w:line="264" w:lineRule="auto"/>
              <w:jc w:val="center"/>
            </w:pPr>
            <w:r>
              <w:rPr>
                <w:b w:val="0"/>
                <w:sz w:val="19"/>
              </w:rPr>
              <w:t>0.9403</w:t>
            </w:r>
          </w:p>
        </w:tc>
        <w:tc>
          <w:tcPr>
            <w:tcW w:type="dxa" w:w="1871"/>
            <w:shd w:fill="FFFFFF"/>
            <w:tcMar>
              <w:top w:w="85" w:type="dxa"/>
              <w:bottom w:w="85" w:type="dxa"/>
              <w:left w:w="85" w:type="dxa"/>
              <w:right w:w="85" w:type="dxa"/>
            </w:tcMar>
          </w:tcPr>
          <w:p>
            <w:pPr>
              <w:spacing w:after="0" w:line="264" w:lineRule="auto"/>
              <w:jc w:val="center"/>
            </w:pPr>
            <w:r>
              <w:rPr>
                <w:b w:val="0"/>
                <w:sz w:val="19"/>
              </w:rPr>
              <w:t>0.8932</w:t>
            </w:r>
          </w:p>
        </w:tc>
        <w:tc>
          <w:tcPr>
            <w:tcW w:type="dxa" w:w="1928"/>
            <w:shd w:fill="FFFFFF"/>
            <w:tcMar>
              <w:top w:w="85" w:type="dxa"/>
              <w:bottom w:w="85" w:type="dxa"/>
              <w:left w:w="85" w:type="dxa"/>
              <w:right w:w="85" w:type="dxa"/>
            </w:tcMar>
          </w:tcPr>
          <w:p>
            <w:pPr>
              <w:spacing w:after="0" w:line="264" w:lineRule="auto"/>
              <w:jc w:val="center"/>
            </w:pPr>
            <w:r>
              <w:rPr>
                <w:b w:val="0"/>
                <w:sz w:val="19"/>
              </w:rPr>
              <w:t>0.00645</w:t>
            </w:r>
          </w:p>
        </w:tc>
      </w:tr>
      <w:tr>
        <w:trPr>
          <w:cantSplit/>
        </w:trPr>
        <w:tc>
          <w:tcPr>
            <w:tcW w:type="dxa" w:w="3118"/>
            <w:shd w:fill="F1F5F8"/>
            <w:tcMar>
              <w:top w:w="85" w:type="dxa"/>
              <w:bottom w:w="85" w:type="dxa"/>
              <w:left w:w="85" w:type="dxa"/>
              <w:right w:w="85" w:type="dxa"/>
            </w:tcMar>
          </w:tcPr>
          <w:p>
            <w:pPr>
              <w:spacing w:after="0" w:line="264" w:lineRule="auto"/>
            </w:pPr>
            <w:r>
              <w:rPr>
                <w:b w:val="0"/>
                <w:sz w:val="19"/>
              </w:rPr>
              <w:t>CVC-ColonDB</w:t>
            </w:r>
          </w:p>
        </w:tc>
        <w:tc>
          <w:tcPr>
            <w:tcW w:type="dxa" w:w="850"/>
            <w:shd w:fill="F1F5F8"/>
            <w:tcMar>
              <w:top w:w="85" w:type="dxa"/>
              <w:bottom w:w="85" w:type="dxa"/>
              <w:left w:w="85" w:type="dxa"/>
              <w:right w:w="85" w:type="dxa"/>
            </w:tcMar>
          </w:tcPr>
          <w:p>
            <w:pPr>
              <w:spacing w:after="0" w:line="264" w:lineRule="auto"/>
              <w:jc w:val="center"/>
            </w:pPr>
            <w:r>
              <w:rPr>
                <w:b w:val="0"/>
                <w:sz w:val="19"/>
              </w:rPr>
              <w:t>380</w:t>
            </w:r>
          </w:p>
        </w:tc>
        <w:tc>
          <w:tcPr>
            <w:tcW w:type="dxa" w:w="1871"/>
            <w:shd w:fill="F1F5F8"/>
            <w:tcMar>
              <w:top w:w="85" w:type="dxa"/>
              <w:bottom w:w="85" w:type="dxa"/>
              <w:left w:w="85" w:type="dxa"/>
              <w:right w:w="85" w:type="dxa"/>
            </w:tcMar>
          </w:tcPr>
          <w:p>
            <w:pPr>
              <w:spacing w:after="0" w:line="264" w:lineRule="auto"/>
              <w:jc w:val="center"/>
            </w:pPr>
            <w:r>
              <w:rPr>
                <w:b w:val="0"/>
                <w:sz w:val="19"/>
              </w:rPr>
              <w:t>0.8114</w:t>
            </w:r>
          </w:p>
        </w:tc>
        <w:tc>
          <w:tcPr>
            <w:tcW w:type="dxa" w:w="1871"/>
            <w:shd w:fill="F1F5F8"/>
            <w:tcMar>
              <w:top w:w="85" w:type="dxa"/>
              <w:bottom w:w="85" w:type="dxa"/>
              <w:left w:w="85" w:type="dxa"/>
              <w:right w:w="85" w:type="dxa"/>
            </w:tcMar>
          </w:tcPr>
          <w:p>
            <w:pPr>
              <w:spacing w:after="0" w:line="264" w:lineRule="auto"/>
              <w:jc w:val="center"/>
            </w:pPr>
            <w:r>
              <w:rPr>
                <w:b w:val="0"/>
                <w:sz w:val="19"/>
              </w:rPr>
              <w:t>0.7304</w:t>
            </w:r>
          </w:p>
        </w:tc>
        <w:tc>
          <w:tcPr>
            <w:tcW w:type="dxa" w:w="1928"/>
            <w:shd w:fill="F1F5F8"/>
            <w:tcMar>
              <w:top w:w="85" w:type="dxa"/>
              <w:bottom w:w="85" w:type="dxa"/>
              <w:left w:w="85" w:type="dxa"/>
              <w:right w:w="85" w:type="dxa"/>
            </w:tcMar>
          </w:tcPr>
          <w:p>
            <w:pPr>
              <w:spacing w:after="0" w:line="264" w:lineRule="auto"/>
              <w:jc w:val="center"/>
            </w:pPr>
            <w:r>
              <w:rPr>
                <w:b w:val="0"/>
                <w:sz w:val="19"/>
              </w:rPr>
              <w:t>0.03109</w:t>
            </w:r>
          </w:p>
        </w:tc>
      </w:tr>
      <w:tr>
        <w:trPr>
          <w:cantSplit/>
        </w:trPr>
        <w:tc>
          <w:tcPr>
            <w:tcW w:type="dxa" w:w="3118"/>
            <w:shd w:fill="FFFFFF"/>
            <w:tcMar>
              <w:top w:w="85" w:type="dxa"/>
              <w:bottom w:w="85" w:type="dxa"/>
              <w:left w:w="85" w:type="dxa"/>
              <w:right w:w="85" w:type="dxa"/>
            </w:tcMar>
          </w:tcPr>
          <w:p>
            <w:pPr>
              <w:spacing w:after="0" w:line="264" w:lineRule="auto"/>
            </w:pPr>
            <w:r>
              <w:rPr>
                <w:b w:val="0"/>
                <w:sz w:val="19"/>
              </w:rPr>
              <w:t>ETIS-LaribPolypDB</w:t>
            </w:r>
          </w:p>
        </w:tc>
        <w:tc>
          <w:tcPr>
            <w:tcW w:type="dxa" w:w="850"/>
            <w:shd w:fill="FFFFFF"/>
            <w:tcMar>
              <w:top w:w="85" w:type="dxa"/>
              <w:bottom w:w="85" w:type="dxa"/>
              <w:left w:w="85" w:type="dxa"/>
              <w:right w:w="85" w:type="dxa"/>
            </w:tcMar>
          </w:tcPr>
          <w:p>
            <w:pPr>
              <w:spacing w:after="0" w:line="264" w:lineRule="auto"/>
              <w:jc w:val="center"/>
            </w:pPr>
            <w:r>
              <w:rPr>
                <w:b w:val="0"/>
                <w:sz w:val="19"/>
              </w:rPr>
              <w:t>196</w:t>
            </w:r>
          </w:p>
        </w:tc>
        <w:tc>
          <w:tcPr>
            <w:tcW w:type="dxa" w:w="1871"/>
            <w:shd w:fill="FFFFFF"/>
            <w:tcMar>
              <w:top w:w="85" w:type="dxa"/>
              <w:bottom w:w="85" w:type="dxa"/>
              <w:left w:w="85" w:type="dxa"/>
              <w:right w:w="85" w:type="dxa"/>
            </w:tcMar>
          </w:tcPr>
          <w:p>
            <w:pPr>
              <w:spacing w:after="0" w:line="264" w:lineRule="auto"/>
              <w:jc w:val="center"/>
            </w:pPr>
            <w:r>
              <w:rPr>
                <w:b w:val="0"/>
                <w:sz w:val="19"/>
              </w:rPr>
              <w:t>0.7901</w:t>
            </w:r>
          </w:p>
        </w:tc>
        <w:tc>
          <w:tcPr>
            <w:tcW w:type="dxa" w:w="1871"/>
            <w:shd w:fill="FFFFFF"/>
            <w:tcMar>
              <w:top w:w="85" w:type="dxa"/>
              <w:bottom w:w="85" w:type="dxa"/>
              <w:left w:w="85" w:type="dxa"/>
              <w:right w:w="85" w:type="dxa"/>
            </w:tcMar>
          </w:tcPr>
          <w:p>
            <w:pPr>
              <w:spacing w:after="0" w:line="264" w:lineRule="auto"/>
              <w:jc w:val="center"/>
            </w:pPr>
            <w:r>
              <w:rPr>
                <w:b w:val="0"/>
                <w:sz w:val="19"/>
              </w:rPr>
              <w:t>0.7090</w:t>
            </w:r>
          </w:p>
        </w:tc>
        <w:tc>
          <w:tcPr>
            <w:tcW w:type="dxa" w:w="1928"/>
            <w:shd w:fill="FFFFFF"/>
            <w:tcMar>
              <w:top w:w="85" w:type="dxa"/>
              <w:bottom w:w="85" w:type="dxa"/>
              <w:left w:w="85" w:type="dxa"/>
              <w:right w:w="85" w:type="dxa"/>
            </w:tcMar>
          </w:tcPr>
          <w:p>
            <w:pPr>
              <w:spacing w:after="0" w:line="264" w:lineRule="auto"/>
              <w:jc w:val="center"/>
            </w:pPr>
            <w:r>
              <w:rPr>
                <w:b w:val="0"/>
                <w:sz w:val="19"/>
              </w:rPr>
              <w:t>0.01300</w:t>
            </w:r>
          </w:p>
        </w:tc>
      </w:tr>
      <w:tr>
        <w:trPr>
          <w:cantSplit/>
        </w:trPr>
        <w:tc>
          <w:tcPr>
            <w:tcW w:type="dxa" w:w="3118"/>
            <w:shd w:fill="F1F5F8"/>
            <w:tcMar>
              <w:top w:w="85" w:type="dxa"/>
              <w:bottom w:w="85" w:type="dxa"/>
              <w:left w:w="85" w:type="dxa"/>
              <w:right w:w="85" w:type="dxa"/>
            </w:tcMar>
          </w:tcPr>
          <w:p>
            <w:pPr>
              <w:spacing w:after="0" w:line="264" w:lineRule="auto"/>
            </w:pPr>
            <w:r>
              <w:rPr>
                <w:b w:val="0"/>
                <w:sz w:val="19"/>
              </w:rPr>
              <w:t>CVC-300</w:t>
            </w:r>
          </w:p>
        </w:tc>
        <w:tc>
          <w:tcPr>
            <w:tcW w:type="dxa" w:w="850"/>
            <w:shd w:fill="F1F5F8"/>
            <w:tcMar>
              <w:top w:w="85" w:type="dxa"/>
              <w:bottom w:w="85" w:type="dxa"/>
              <w:left w:w="85" w:type="dxa"/>
              <w:right w:w="85" w:type="dxa"/>
            </w:tcMar>
          </w:tcPr>
          <w:p>
            <w:pPr>
              <w:spacing w:after="0" w:line="264" w:lineRule="auto"/>
              <w:jc w:val="center"/>
            </w:pPr>
            <w:r>
              <w:rPr>
                <w:b w:val="0"/>
                <w:sz w:val="19"/>
              </w:rPr>
              <w:t>60</w:t>
            </w:r>
          </w:p>
        </w:tc>
        <w:tc>
          <w:tcPr>
            <w:tcW w:type="dxa" w:w="1871"/>
            <w:shd w:fill="F1F5F8"/>
            <w:tcMar>
              <w:top w:w="85" w:type="dxa"/>
              <w:bottom w:w="85" w:type="dxa"/>
              <w:left w:w="85" w:type="dxa"/>
              <w:right w:w="85" w:type="dxa"/>
            </w:tcMar>
          </w:tcPr>
          <w:p>
            <w:pPr>
              <w:spacing w:after="0" w:line="264" w:lineRule="auto"/>
              <w:jc w:val="center"/>
            </w:pPr>
            <w:r>
              <w:rPr>
                <w:b w:val="0"/>
                <w:sz w:val="19"/>
              </w:rPr>
              <w:t>0.9039</w:t>
            </w:r>
          </w:p>
        </w:tc>
        <w:tc>
          <w:tcPr>
            <w:tcW w:type="dxa" w:w="1871"/>
            <w:shd w:fill="F1F5F8"/>
            <w:tcMar>
              <w:top w:w="85" w:type="dxa"/>
              <w:bottom w:w="85" w:type="dxa"/>
              <w:left w:w="85" w:type="dxa"/>
              <w:right w:w="85" w:type="dxa"/>
            </w:tcMar>
          </w:tcPr>
          <w:p>
            <w:pPr>
              <w:spacing w:after="0" w:line="264" w:lineRule="auto"/>
              <w:jc w:val="center"/>
            </w:pPr>
            <w:r>
              <w:rPr>
                <w:b w:val="0"/>
                <w:sz w:val="19"/>
              </w:rPr>
              <w:t>0.8370</w:t>
            </w:r>
          </w:p>
        </w:tc>
        <w:tc>
          <w:tcPr>
            <w:tcW w:type="dxa" w:w="1928"/>
            <w:shd w:fill="F1F5F8"/>
            <w:tcMar>
              <w:top w:w="85" w:type="dxa"/>
              <w:bottom w:w="85" w:type="dxa"/>
              <w:left w:w="85" w:type="dxa"/>
              <w:right w:w="85" w:type="dxa"/>
            </w:tcMar>
          </w:tcPr>
          <w:p>
            <w:pPr>
              <w:spacing w:after="0" w:line="264" w:lineRule="auto"/>
              <w:jc w:val="center"/>
            </w:pPr>
            <w:r>
              <w:rPr>
                <w:b w:val="0"/>
                <w:sz w:val="19"/>
              </w:rPr>
              <w:t>0.00658</w:t>
            </w:r>
          </w:p>
        </w:tc>
      </w:tr>
    </w:tbl>
    <w:p>
      <w:pPr>
        <w:spacing w:after="0" w:line="60" w:lineRule="exact" w:before="0"/>
      </w:pPr>
    </w:p>
    <w:p>
      <w:r>
        <w:drawing>
          <wp:inline xmlns:a="http://schemas.openxmlformats.org/drawingml/2006/main" xmlns:pic="http://schemas.openxmlformats.org/drawingml/2006/picture">
            <wp:extent cx="6120000" cy="2295000"/>
            <wp:docPr id="1" name="Picture 1"/>
            <wp:cNvGraphicFramePr>
              <a:graphicFrameLocks noChangeAspect="1"/>
            </wp:cNvGraphicFramePr>
            <a:graphic>
              <a:graphicData uri="http://schemas.openxmlformats.org/drawingml/2006/picture">
                <pic:pic>
                  <pic:nvPicPr>
                    <pic:cNvPr id="0" name="scores.png"/>
                    <pic:cNvPicPr/>
                  </pic:nvPicPr>
                  <pic:blipFill>
                    <a:blip r:embed="rId10"/>
                    <a:stretch>
                      <a:fillRect/>
                    </a:stretch>
                  </pic:blipFill>
                  <pic:spPr>
                    <a:xfrm>
                      <a:off x="0" y="0"/>
                      <a:ext cx="6120000" cy="2295000"/>
                    </a:xfrm>
                    <a:prstGeom prst="rect"/>
                  </pic:spPr>
                </pic:pic>
              </a:graphicData>
            </a:graphic>
          </wp:inline>
        </w:drawing>
      </w:r>
    </w:p>
    <w:p>
      <w:pPr>
        <w:pStyle w:val="Caption"/>
      </w:pPr>
      <w:r>
        <w:t>图 1  五个测试子集的平均分割表现；ETIS 为 ETIS-LaribPolypDB 的简称。</w:t>
      </w:r>
    </w:p>
    <w:p>
      <w:r>
        <w:t>CVC-ClinicDB 的 Dice 最高（0.9403），ETIS 最低（0.7901）。CVC-ColonDB 与 ETIS 合计占 576 / 798 个条目（72.2%），因此对 ALL 的贡献较大。子集差异提示模型在不同数据来源上的表现并不均衡，但仅凭这些结果不能确定差异的具体成因。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803"/>
      </w:tblGrid>
      <w:tr>
        <w:trPr>
          <w:cantSplit/>
          <w:tblHeader/>
        </w:trPr>
        <w:tc>
          <w:tcPr>
            <w:tcW w:type="dxa" w:w="2835"/>
            <w:shd w:fill="234E70"/>
            <w:tcMar>
              <w:top w:w="85" w:type="dxa"/>
              <w:bottom w:w="85" w:type="dxa"/>
              <w:left w:w="85" w:type="dxa"/>
              <w:right w:w="85" w:type="dxa"/>
            </w:tcMar>
          </w:tcPr>
          <w:p>
            <w:pPr>
              <w:spacing w:after="0" w:line="264" w:lineRule="auto"/>
            </w:pPr>
            <w:r>
              <w:rPr>
                <w:b/>
                <w:color w:val="FFFFFF"/>
                <w:sz w:val="19"/>
              </w:rPr>
              <w:t>逐图分布指标</w:t>
            </w:r>
          </w:p>
        </w:tc>
        <w:tc>
          <w:tcPr>
            <w:tcW w:type="dxa" w:w="6803"/>
            <w:shd w:fill="234E70"/>
            <w:tcMar>
              <w:top w:w="85" w:type="dxa"/>
              <w:bottom w:w="85" w:type="dxa"/>
              <w:left w:w="85" w:type="dxa"/>
              <w:right w:w="85" w:type="dxa"/>
            </w:tcMar>
          </w:tcPr>
          <w:p>
            <w:pPr>
              <w:spacing w:after="0" w:line="264" w:lineRule="auto"/>
            </w:pPr>
            <w:r>
              <w:rPr>
                <w:b/>
                <w:color w:val="FFFFFF"/>
                <w:sz w:val="19"/>
              </w:rPr>
              <w:t>结果</w:t>
            </w:r>
          </w:p>
        </w:tc>
      </w:tr>
      <w:tr>
        <w:trPr>
          <w:cantSplit/>
        </w:trPr>
        <w:tc>
          <w:tcPr>
            <w:tcW w:type="dxa" w:w="2835"/>
            <w:shd w:fill="FFFFFF"/>
            <w:tcMar>
              <w:top w:w="85" w:type="dxa"/>
              <w:bottom w:w="85" w:type="dxa"/>
              <w:left w:w="85" w:type="dxa"/>
              <w:right w:w="85" w:type="dxa"/>
            </w:tcMar>
          </w:tcPr>
          <w:p>
            <w:pPr>
              <w:spacing w:after="0" w:line="264" w:lineRule="auto"/>
            </w:pPr>
            <w:r>
              <w:rPr>
                <w:b w:val="0"/>
                <w:sz w:val="19"/>
              </w:rPr>
              <w:t>Dice 中位数与四分位区间</w:t>
            </w:r>
          </w:p>
        </w:tc>
        <w:tc>
          <w:tcPr>
            <w:tcW w:type="dxa" w:w="6803"/>
            <w:shd w:fill="FFFFFF"/>
            <w:tcMar>
              <w:top w:w="85" w:type="dxa"/>
              <w:bottom w:w="85" w:type="dxa"/>
              <w:left w:w="85" w:type="dxa"/>
              <w:right w:w="85" w:type="dxa"/>
            </w:tcMar>
          </w:tcPr>
          <w:p>
            <w:pPr>
              <w:spacing w:after="0" w:line="264" w:lineRule="auto"/>
            </w:pPr>
            <w:r>
              <w:rPr>
                <w:b w:val="0"/>
                <w:sz w:val="19"/>
              </w:rPr>
              <w:t>0.9282；Q1–Q3 为 0.8175–0.9573</w:t>
            </w:r>
          </w:p>
        </w:tc>
      </w:tr>
      <w:tr>
        <w:trPr>
          <w:cantSplit/>
        </w:trPr>
        <w:tc>
          <w:tcPr>
            <w:tcW w:type="dxa" w:w="2835"/>
            <w:shd w:fill="F1F5F8"/>
            <w:tcMar>
              <w:top w:w="85" w:type="dxa"/>
              <w:bottom w:w="85" w:type="dxa"/>
              <w:left w:w="85" w:type="dxa"/>
              <w:right w:w="85" w:type="dxa"/>
            </w:tcMar>
          </w:tcPr>
          <w:p>
            <w:pPr>
              <w:spacing w:after="0" w:line="264" w:lineRule="auto"/>
            </w:pPr>
            <w:r>
              <w:rPr>
                <w:b w:val="0"/>
                <w:sz w:val="19"/>
              </w:rPr>
              <w:t>Dice ≥ 0.9</w:t>
            </w:r>
          </w:p>
        </w:tc>
        <w:tc>
          <w:tcPr>
            <w:tcW w:type="dxa" w:w="6803"/>
            <w:shd w:fill="F1F5F8"/>
            <w:tcMar>
              <w:top w:w="85" w:type="dxa"/>
              <w:bottom w:w="85" w:type="dxa"/>
              <w:left w:w="85" w:type="dxa"/>
              <w:right w:w="85" w:type="dxa"/>
            </w:tcMar>
          </w:tcPr>
          <w:p>
            <w:pPr>
              <w:spacing w:after="0" w:line="264" w:lineRule="auto"/>
            </w:pPr>
            <w:r>
              <w:rPr>
                <w:b w:val="0"/>
                <w:sz w:val="19"/>
              </w:rPr>
              <w:t>488 / 798（61.2%）</w:t>
            </w:r>
          </w:p>
        </w:tc>
      </w:tr>
      <w:tr>
        <w:trPr>
          <w:cantSplit/>
        </w:trPr>
        <w:tc>
          <w:tcPr>
            <w:tcW w:type="dxa" w:w="2835"/>
            <w:shd w:fill="FFFFFF"/>
            <w:tcMar>
              <w:top w:w="85" w:type="dxa"/>
              <w:bottom w:w="85" w:type="dxa"/>
              <w:left w:w="85" w:type="dxa"/>
              <w:right w:w="85" w:type="dxa"/>
            </w:tcMar>
          </w:tcPr>
          <w:p>
            <w:pPr>
              <w:spacing w:after="0" w:line="264" w:lineRule="auto"/>
            </w:pPr>
            <w:r>
              <w:rPr>
                <w:b w:val="0"/>
                <w:sz w:val="19"/>
              </w:rPr>
              <w:t>Dice &lt; 0.5</w:t>
            </w:r>
          </w:p>
        </w:tc>
        <w:tc>
          <w:tcPr>
            <w:tcW w:type="dxa" w:w="6803"/>
            <w:shd w:fill="FFFFFF"/>
            <w:tcMar>
              <w:top w:w="85" w:type="dxa"/>
              <w:bottom w:w="85" w:type="dxa"/>
              <w:left w:w="85" w:type="dxa"/>
              <w:right w:w="85" w:type="dxa"/>
            </w:tcMar>
          </w:tcPr>
          <w:p>
            <w:pPr>
              <w:spacing w:after="0" w:line="264" w:lineRule="auto"/>
            </w:pPr>
            <w:r>
              <w:rPr>
                <w:b w:val="0"/>
                <w:sz w:val="19"/>
              </w:rPr>
              <w:t>68 / 798（8.5%）；其中 ColonDB 40、ETIS 24、Kvasir 3、CVC-300 1</w:t>
            </w:r>
          </w:p>
        </w:tc>
      </w:tr>
      <w:tr>
        <w:trPr>
          <w:cantSplit/>
        </w:trPr>
        <w:tc>
          <w:tcPr>
            <w:tcW w:type="dxa" w:w="2835"/>
            <w:shd w:fill="F1F5F8"/>
            <w:tcMar>
              <w:top w:w="85" w:type="dxa"/>
              <w:bottom w:w="85" w:type="dxa"/>
              <w:left w:w="85" w:type="dxa"/>
              <w:right w:w="85" w:type="dxa"/>
            </w:tcMar>
          </w:tcPr>
          <w:p>
            <w:pPr>
              <w:spacing w:after="0" w:line="264" w:lineRule="auto"/>
            </w:pPr>
            <w:r>
              <w:rPr>
                <w:b w:val="0"/>
                <w:sz w:val="19"/>
              </w:rPr>
              <w:t>Dice = 0</w:t>
            </w:r>
          </w:p>
        </w:tc>
        <w:tc>
          <w:tcPr>
            <w:tcW w:type="dxa" w:w="6803"/>
            <w:shd w:fill="F1F5F8"/>
            <w:tcMar>
              <w:top w:w="85" w:type="dxa"/>
              <w:bottom w:w="85" w:type="dxa"/>
              <w:left w:w="85" w:type="dxa"/>
              <w:right w:w="85" w:type="dxa"/>
            </w:tcMar>
          </w:tcPr>
          <w:p>
            <w:pPr>
              <w:spacing w:after="0" w:line="264" w:lineRule="auto"/>
            </w:pPr>
            <w:r>
              <w:rPr>
                <w:b w:val="0"/>
                <w:sz w:val="19"/>
              </w:rPr>
              <w:t>14 / 798（1.8%）；表示预测与标注无重叠</w:t>
            </w:r>
          </w:p>
        </w:tc>
      </w:tr>
    </w:tbl>
    <w:p>
      <w:pPr>
        <w:spacing w:after="0" w:line="60" w:lineRule="exact" w:before="0"/>
      </w:pPr>
    </w:p>
    <w:p>
      <w:r>
        <w:br w:type="page"/>
      </w:r>
    </w:p>
    <w:p>
      <w:pPr>
        <w:pStyle w:val="Heading1"/>
      </w:pPr>
      <w:r>
        <w:t>4 代表样本与失败情况</w:t>
      </w:r>
    </w:p>
    <w:p>
      <w:r>
        <w:t>以下按 Dice 升序及样本 ID 排序，选取最低分、居中排名第 400 个条目和最高分样本。中间示例是单个样本，其 Dice 不必等于整体中位数。图像分别展示原图、真实标注和模型预测，白色区域为息肉掩膜。</w:t>
      </w:r>
    </w:p>
    <w:p>
      <w:r>
        <w:drawing>
          <wp:inline xmlns:a="http://schemas.openxmlformats.org/drawingml/2006/main" xmlns:pic="http://schemas.openxmlformats.org/drawingml/2006/picture">
            <wp:extent cx="6120000" cy="5021538"/>
            <wp:docPr id="2" name="Picture 2"/>
            <wp:cNvGraphicFramePr>
              <a:graphicFrameLocks noChangeAspect="1"/>
            </wp:cNvGraphicFramePr>
            <a:graphic>
              <a:graphicData uri="http://schemas.openxmlformats.org/drawingml/2006/picture">
                <pic:pic>
                  <pic:nvPicPr>
                    <pic:cNvPr id="0" name="examples.png"/>
                    <pic:cNvPicPr/>
                  </pic:nvPicPr>
                  <pic:blipFill>
                    <a:blip r:embed="rId11"/>
                    <a:stretch>
                      <a:fillRect/>
                    </a:stretch>
                  </pic:blipFill>
                  <pic:spPr>
                    <a:xfrm>
                      <a:off x="0" y="0"/>
                      <a:ext cx="6120000" cy="5021538"/>
                    </a:xfrm>
                    <a:prstGeom prst="rect"/>
                  </pic:spPr>
                </pic:pic>
              </a:graphicData>
            </a:graphic>
          </wp:inline>
        </w:drawing>
      </w:r>
    </w:p>
    <w:p>
      <w:pPr>
        <w:pStyle w:val="Caption"/>
      </w:pPr>
      <w:r>
        <w:t>图 2  按确定性排序选取的三个样本，避免仅展示高分结果。</w:t>
      </w:r>
    </w:p>
    <w:p>
      <w:r>
        <w:t>最低分示例：CVC-ColonDB/324；Dice 0.0000，IoU 0.0000。</w:t>
      </w:r>
    </w:p>
    <w:p>
      <w:r>
        <w:t>居中示例：ETIS-LaribPolypDB/173；Dice 0.9288，IoU 0.8670。</w:t>
      </w:r>
    </w:p>
    <w:p>
      <w:r>
        <w:t>最高分示例：Kvasir/cju84hibuktj80871u519o71q；Dice 0.9906，IoU 0.9814。</w:t>
      </w:r>
    </w:p>
    <w:p>
      <w:r>
        <w:t>14 个 Dice 为零的条目说明仍存在完全无重叠预测。该数量不能解释为临床息肉漏诊率：当前计数单位为图像条目，没有患者级分母、病灶跟踪或完整视频序列。后续可对低分样本进行定性归因，但不应据测试集个例反复选择模型超参数。</w:t>
      </w:r>
    </w:p>
    <w:p>
      <w:r>
        <w:br w:type="page"/>
      </w:r>
    </w:p>
    <w:p>
      <w:pPr>
        <w:pStyle w:val="Heading1"/>
      </w:pPr>
      <w:r>
        <w:t>5 评估协议与旧结果的一致性</w:t>
      </w:r>
    </w:p>
    <w:p>
      <w:r>
        <w:t>模型输出两路 logits，先求和，再使用 bilinear 插值恢复至原始图像尺寸（align_corners=False），最后执行 sigmoid。融合所需概率以 float32、原始 H × W 尺寸保存到 NPZ，键名为 probability。二值预测使用 probability ≥ 0.5。</w:t>
      </w:r>
    </w:p>
    <w:p>
      <w:r>
        <w:t>真实掩膜转为 8 位灰度；最大值不超过 1 时以 &gt; 0 二值化，否则使用 &gt; 127.5。Dice = 2TP / (2TP + FP + FN)，IoU = TP / (TP + FP + FN)。主协议规定预测与标注均空时为 1，仅一方为空时为 0；本测试集的所有标注均非空。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2835"/>
        <w:gridCol w:w="2835"/>
      </w:tblGrid>
      <w:tr>
        <w:trPr>
          <w:cantSplit/>
          <w:tblHeader/>
        </w:trPr>
        <w:tc>
          <w:tcPr>
            <w:tcW w:type="dxa" w:w="3969"/>
            <w:shd w:fill="234E70"/>
            <w:tcMar>
              <w:top w:w="85" w:type="dxa"/>
              <w:bottom w:w="85" w:type="dxa"/>
              <w:left w:w="85" w:type="dxa"/>
              <w:right w:w="85" w:type="dxa"/>
            </w:tcMar>
          </w:tcPr>
          <w:p>
            <w:pPr>
              <w:spacing w:after="0" w:line="264" w:lineRule="auto"/>
            </w:pPr>
            <w:r>
              <w:rPr>
                <w:b/>
                <w:color w:val="FFFFFF"/>
                <w:sz w:val="19"/>
              </w:rPr>
              <w:t>协议</w:t>
            </w:r>
          </w:p>
        </w:tc>
        <w:tc>
          <w:tcPr>
            <w:tcW w:type="dxa" w:w="2835"/>
            <w:shd w:fill="234E70"/>
            <w:tcMar>
              <w:top w:w="85" w:type="dxa"/>
              <w:bottom w:w="85" w:type="dxa"/>
              <w:left w:w="85" w:type="dxa"/>
              <w:right w:w="85" w:type="dxa"/>
            </w:tcMar>
          </w:tcPr>
          <w:p>
            <w:pPr>
              <w:spacing w:after="0" w:line="264" w:lineRule="auto"/>
              <w:jc w:val="center"/>
            </w:pPr>
            <w:r>
              <w:rPr>
                <w:b/>
                <w:color w:val="FFFFFF"/>
                <w:sz w:val="19"/>
              </w:rPr>
              <w:t>ALL Dice</w:t>
            </w:r>
          </w:p>
        </w:tc>
        <w:tc>
          <w:tcPr>
            <w:tcW w:type="dxa" w:w="2835"/>
            <w:shd w:fill="234E70"/>
            <w:tcMar>
              <w:top w:w="85" w:type="dxa"/>
              <w:bottom w:w="85" w:type="dxa"/>
              <w:left w:w="85" w:type="dxa"/>
              <w:right w:w="85" w:type="dxa"/>
            </w:tcMar>
          </w:tcPr>
          <w:p>
            <w:pPr>
              <w:spacing w:after="0" w:line="264" w:lineRule="auto"/>
              <w:jc w:val="center"/>
            </w:pPr>
            <w:r>
              <w:rPr>
                <w:b/>
                <w:color w:val="FFFFFF"/>
                <w:sz w:val="19"/>
              </w:rPr>
              <w:t>ALL IoU</w:t>
            </w:r>
          </w:p>
        </w:tc>
      </w:tr>
      <w:tr>
        <w:trPr>
          <w:cantSplit/>
        </w:trPr>
        <w:tc>
          <w:tcPr>
            <w:tcW w:type="dxa" w:w="3969"/>
            <w:shd w:fill="FFFFFF"/>
            <w:tcMar>
              <w:top w:w="85" w:type="dxa"/>
              <w:bottom w:w="85" w:type="dxa"/>
              <w:left w:w="85" w:type="dxa"/>
              <w:right w:w="85" w:type="dxa"/>
            </w:tcMar>
          </w:tcPr>
          <w:p>
            <w:pPr>
              <w:spacing w:after="0" w:line="264" w:lineRule="auto"/>
            </w:pPr>
            <w:r>
              <w:rPr>
                <w:b w:val="0"/>
                <w:sz w:val="19"/>
              </w:rPr>
              <w:t>主协议 raw sigmoid</w:t>
            </w:r>
          </w:p>
        </w:tc>
        <w:tc>
          <w:tcPr>
            <w:tcW w:type="dxa" w:w="2835"/>
            <w:shd w:fill="FFFFFF"/>
            <w:tcMar>
              <w:top w:w="85" w:type="dxa"/>
              <w:bottom w:w="85" w:type="dxa"/>
              <w:left w:w="85" w:type="dxa"/>
              <w:right w:w="85" w:type="dxa"/>
            </w:tcMar>
          </w:tcPr>
          <w:p>
            <w:pPr>
              <w:spacing w:after="0" w:line="264" w:lineRule="auto"/>
              <w:jc w:val="center"/>
            </w:pPr>
            <w:r>
              <w:rPr>
                <w:b w:val="0"/>
                <w:sz w:val="19"/>
              </w:rPr>
              <w:t>0.836782869</w:t>
            </w:r>
          </w:p>
        </w:tc>
        <w:tc>
          <w:tcPr>
            <w:tcW w:type="dxa" w:w="2835"/>
            <w:shd w:fill="FFFFFF"/>
            <w:tcMar>
              <w:top w:w="85" w:type="dxa"/>
              <w:bottom w:w="85" w:type="dxa"/>
              <w:left w:w="85" w:type="dxa"/>
              <w:right w:w="85" w:type="dxa"/>
            </w:tcMar>
          </w:tcPr>
          <w:p>
            <w:pPr>
              <w:spacing w:after="0" w:line="264" w:lineRule="auto"/>
              <w:jc w:val="center"/>
            </w:pPr>
            <w:r>
              <w:rPr>
                <w:b w:val="0"/>
                <w:sz w:val="19"/>
              </w:rPr>
              <w:t>0.762995813</w:t>
            </w:r>
          </w:p>
        </w:tc>
      </w:tr>
      <w:tr>
        <w:trPr>
          <w:cantSplit/>
        </w:trPr>
        <w:tc>
          <w:tcPr>
            <w:tcW w:type="dxa" w:w="3969"/>
            <w:shd w:fill="F1F5F8"/>
            <w:tcMar>
              <w:top w:w="85" w:type="dxa"/>
              <w:bottom w:w="85" w:type="dxa"/>
              <w:left w:w="85" w:type="dxa"/>
              <w:right w:w="85" w:type="dxa"/>
            </w:tcMar>
          </w:tcPr>
          <w:p>
            <w:pPr>
              <w:spacing w:after="0" w:line="264" w:lineRule="auto"/>
            </w:pPr>
            <w:r>
              <w:rPr>
                <w:b w:val="0"/>
                <w:sz w:val="19"/>
              </w:rPr>
              <w:t>兼容协议 legacy min–max</w:t>
            </w:r>
          </w:p>
        </w:tc>
        <w:tc>
          <w:tcPr>
            <w:tcW w:type="dxa" w:w="2835"/>
            <w:shd w:fill="F1F5F8"/>
            <w:tcMar>
              <w:top w:w="85" w:type="dxa"/>
              <w:bottom w:w="85" w:type="dxa"/>
              <w:left w:w="85" w:type="dxa"/>
              <w:right w:w="85" w:type="dxa"/>
            </w:tcMar>
          </w:tcPr>
          <w:p>
            <w:pPr>
              <w:spacing w:after="0" w:line="264" w:lineRule="auto"/>
              <w:jc w:val="center"/>
            </w:pPr>
            <w:r>
              <w:rPr>
                <w:b w:val="0"/>
                <w:sz w:val="19"/>
              </w:rPr>
              <w:t>0.836782905</w:t>
            </w:r>
          </w:p>
        </w:tc>
        <w:tc>
          <w:tcPr>
            <w:tcW w:type="dxa" w:w="2835"/>
            <w:shd w:fill="F1F5F8"/>
            <w:tcMar>
              <w:top w:w="85" w:type="dxa"/>
              <w:bottom w:w="85" w:type="dxa"/>
              <w:left w:w="85" w:type="dxa"/>
              <w:right w:w="85" w:type="dxa"/>
            </w:tcMar>
          </w:tcPr>
          <w:p>
            <w:pPr>
              <w:spacing w:after="0" w:line="264" w:lineRule="auto"/>
              <w:jc w:val="center"/>
            </w:pPr>
            <w:r>
              <w:rPr>
                <w:b w:val="0"/>
                <w:sz w:val="19"/>
              </w:rPr>
              <w:t>0.762995833</w:t>
            </w:r>
          </w:p>
        </w:tc>
      </w:tr>
    </w:tbl>
    <w:p>
      <w:pPr>
        <w:spacing w:after="0" w:line="60" w:lineRule="exact" w:before="0"/>
      </w:pPr>
    </w:p>
    <w:p>
      <w:r>
        <w:t>兼容协议先对每张概率图做 min–max 归一化，再量化到 8 位 PNG 并以 0.5 阈值评估。两套协议仅有 2 个条目的 Dice 不同，整体差异不足 0.00000004；这不意味着连续概率图相同或后续融合可以混用两套输出。E1–E3 应统一采用主协议。</w:t>
      </w:r>
    </w:p>
    <w:p>
      <w:r>
        <w:t>本次 Kvasir 的 Dice 0.9203546952 与 IoU 0.8675625732，与此前 Kvasir 固定阈值结果一致。当前主指标不是跨阈值平均 meanDic / meanIoU，也不是最佳阈值 maxDic / maxIoU，不能直接替代论文或 MATLAB 评估中同名但口径不同的结果。</w:t>
      </w:r>
    </w:p>
    <w:p>
      <w:pPr>
        <w:pStyle w:val="Heading1"/>
      </w:pPr>
      <w:r>
        <w:t>6 推理耗时与视频应用边界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7030"/>
      </w:tblGrid>
      <w:tr>
        <w:trPr>
          <w:cantSplit/>
          <w:tblHeader/>
        </w:trPr>
        <w:tc>
          <w:tcPr>
            <w:tcW w:type="dxa" w:w="2608"/>
            <w:shd w:fill="234E70"/>
            <w:tcMar>
              <w:top w:w="85" w:type="dxa"/>
              <w:bottom w:w="85" w:type="dxa"/>
              <w:left w:w="85" w:type="dxa"/>
              <w:right w:w="85" w:type="dxa"/>
            </w:tcMar>
          </w:tcPr>
          <w:p>
            <w:pPr>
              <w:spacing w:after="0" w:line="264" w:lineRule="auto"/>
            </w:pPr>
            <w:r>
              <w:rPr>
                <w:b/>
                <w:color w:val="FFFFFF"/>
                <w:sz w:val="19"/>
              </w:rPr>
              <w:t>测量项</w:t>
            </w:r>
          </w:p>
        </w:tc>
        <w:tc>
          <w:tcPr>
            <w:tcW w:type="dxa" w:w="7030"/>
            <w:shd w:fill="234E70"/>
            <w:tcMar>
              <w:top w:w="85" w:type="dxa"/>
              <w:bottom w:w="85" w:type="dxa"/>
              <w:left w:w="85" w:type="dxa"/>
              <w:right w:w="85" w:type="dxa"/>
            </w:tcMar>
          </w:tcPr>
          <w:p>
            <w:pPr>
              <w:spacing w:after="0" w:line="264" w:lineRule="auto"/>
            </w:pPr>
            <w:r>
              <w:rPr>
                <w:b/>
                <w:color w:val="FFFFFF"/>
                <w:sz w:val="19"/>
              </w:rPr>
              <w:t>结果与含义</w:t>
            </w:r>
          </w:p>
        </w:tc>
      </w:tr>
      <w:tr>
        <w:trPr>
          <w:cantSplit/>
        </w:trPr>
        <w:tc>
          <w:tcPr>
            <w:tcW w:type="dxa" w:w="2608"/>
            <w:shd w:fill="FFFFFF"/>
            <w:tcMar>
              <w:top w:w="85" w:type="dxa"/>
              <w:bottom w:w="85" w:type="dxa"/>
              <w:left w:w="85" w:type="dxa"/>
              <w:right w:w="85" w:type="dxa"/>
            </w:tcMar>
          </w:tcPr>
          <w:p>
            <w:pPr>
              <w:spacing w:after="0" w:line="264" w:lineRule="auto"/>
            </w:pPr>
            <w:r>
              <w:rPr>
                <w:b w:val="0"/>
                <w:sz w:val="19"/>
              </w:rPr>
              <w:t>平均单图前向耗时</w:t>
            </w:r>
          </w:p>
        </w:tc>
        <w:tc>
          <w:tcPr>
            <w:tcW w:type="dxa" w:w="7030"/>
            <w:shd w:fill="FFFFFF"/>
            <w:tcMar>
              <w:top w:w="85" w:type="dxa"/>
              <w:bottom w:w="85" w:type="dxa"/>
              <w:left w:w="85" w:type="dxa"/>
              <w:right w:w="85" w:type="dxa"/>
            </w:tcMar>
          </w:tcPr>
          <w:p>
            <w:pPr>
              <w:spacing w:after="0" w:line="264" w:lineRule="auto"/>
            </w:pPr>
            <w:r>
              <w:rPr>
                <w:b w:val="0"/>
                <w:sz w:val="19"/>
              </w:rPr>
              <w:t>197.78 ms；中位数 197.24 ms；P95 210.24 ms</w:t>
            </w:r>
          </w:p>
        </w:tc>
      </w:tr>
      <w:tr>
        <w:trPr>
          <w:cantSplit/>
        </w:trPr>
        <w:tc>
          <w:tcPr>
            <w:tcW w:type="dxa" w:w="2608"/>
            <w:shd w:fill="F1F5F8"/>
            <w:tcMar>
              <w:top w:w="85" w:type="dxa"/>
              <w:bottom w:w="85" w:type="dxa"/>
              <w:left w:w="85" w:type="dxa"/>
              <w:right w:w="85" w:type="dxa"/>
            </w:tcMar>
          </w:tcPr>
          <w:p>
            <w:pPr>
              <w:spacing w:after="0" w:line="264" w:lineRule="auto"/>
            </w:pPr>
            <w:r>
              <w:rPr>
                <w:b w:val="0"/>
                <w:sz w:val="19"/>
              </w:rPr>
              <w:t>前向吞吐折算</w:t>
            </w:r>
          </w:p>
        </w:tc>
        <w:tc>
          <w:tcPr>
            <w:tcW w:type="dxa" w:w="7030"/>
            <w:shd w:fill="F1F5F8"/>
            <w:tcMar>
              <w:top w:w="85" w:type="dxa"/>
              <w:bottom w:w="85" w:type="dxa"/>
              <w:left w:w="85" w:type="dxa"/>
              <w:right w:w="85" w:type="dxa"/>
            </w:tcMar>
          </w:tcPr>
          <w:p>
            <w:pPr>
              <w:spacing w:after="0" w:line="264" w:lineRule="auto"/>
            </w:pPr>
            <w:r>
              <w:rPr>
                <w:b w:val="0"/>
                <w:sz w:val="19"/>
              </w:rPr>
              <w:t>约 5.06 张 / 秒，仅为 1000 / 平均前向毫秒数</w:t>
            </w:r>
          </w:p>
        </w:tc>
      </w:tr>
      <w:tr>
        <w:trPr>
          <w:cantSplit/>
        </w:trPr>
        <w:tc>
          <w:tcPr>
            <w:tcW w:type="dxa" w:w="2608"/>
            <w:shd w:fill="FFFFFF"/>
            <w:tcMar>
              <w:top w:w="85" w:type="dxa"/>
              <w:bottom w:w="85" w:type="dxa"/>
              <w:left w:w="85" w:type="dxa"/>
              <w:right w:w="85" w:type="dxa"/>
            </w:tcMar>
          </w:tcPr>
          <w:p>
            <w:pPr>
              <w:spacing w:after="0" w:line="264" w:lineRule="auto"/>
            </w:pPr>
            <w:r>
              <w:rPr>
                <w:b w:val="0"/>
                <w:sz w:val="19"/>
              </w:rPr>
              <w:t>分析循环耗时</w:t>
            </w:r>
          </w:p>
        </w:tc>
        <w:tc>
          <w:tcPr>
            <w:tcW w:type="dxa" w:w="7030"/>
            <w:shd w:fill="FFFFFF"/>
            <w:tcMar>
              <w:top w:w="85" w:type="dxa"/>
              <w:bottom w:w="85" w:type="dxa"/>
              <w:left w:w="85" w:type="dxa"/>
              <w:right w:w="85" w:type="dxa"/>
            </w:tcMar>
          </w:tcPr>
          <w:p>
            <w:pPr>
              <w:spacing w:after="0" w:line="264" w:lineRule="auto"/>
            </w:pPr>
            <w:r>
              <w:rPr>
                <w:b w:val="0"/>
                <w:sz w:val="19"/>
              </w:rPr>
              <w:t>226.30 秒 / 798 张，折算约 3.53 张 / 秒</w:t>
            </w:r>
          </w:p>
        </w:tc>
      </w:tr>
      <w:tr>
        <w:trPr>
          <w:cantSplit/>
        </w:trPr>
        <w:tc>
          <w:tcPr>
            <w:tcW w:type="dxa" w:w="2608"/>
            <w:shd w:fill="F1F5F8"/>
            <w:tcMar>
              <w:top w:w="85" w:type="dxa"/>
              <w:bottom w:w="85" w:type="dxa"/>
              <w:left w:w="85" w:type="dxa"/>
              <w:right w:w="85" w:type="dxa"/>
            </w:tcMar>
          </w:tcPr>
          <w:p>
            <w:pPr>
              <w:spacing w:after="0" w:line="264" w:lineRule="auto"/>
            </w:pPr>
            <w:r>
              <w:rPr>
                <w:b w:val="0"/>
                <w:sz w:val="19"/>
              </w:rPr>
              <w:t>前向计时范围</w:t>
            </w:r>
          </w:p>
        </w:tc>
        <w:tc>
          <w:tcPr>
            <w:tcW w:type="dxa" w:w="7030"/>
            <w:shd w:fill="F1F5F8"/>
            <w:tcMar>
              <w:top w:w="85" w:type="dxa"/>
              <w:bottom w:w="85" w:type="dxa"/>
              <w:left w:w="85" w:type="dxa"/>
              <w:right w:w="85" w:type="dxa"/>
            </w:tcMar>
          </w:tcPr>
          <w:p>
            <w:pPr>
              <w:spacing w:after="0" w:line="264" w:lineRule="auto"/>
            </w:pPr>
            <w:r>
              <w:rPr>
                <w:b w:val="0"/>
                <w:sz w:val="19"/>
              </w:rPr>
              <w:t>仅模型 forward，不含预处理、输出插值、sigmoid、指标和文件写入</w:t>
            </w:r>
          </w:p>
        </w:tc>
      </w:tr>
      <w:tr>
        <w:trPr>
          <w:cantSplit/>
        </w:trPr>
        <w:tc>
          <w:tcPr>
            <w:tcW w:type="dxa" w:w="2608"/>
            <w:shd w:fill="FFFFFF"/>
            <w:tcMar>
              <w:top w:w="85" w:type="dxa"/>
              <w:bottom w:w="85" w:type="dxa"/>
              <w:left w:w="85" w:type="dxa"/>
              <w:right w:w="85" w:type="dxa"/>
            </w:tcMar>
          </w:tcPr>
          <w:p>
            <w:pPr>
              <w:spacing w:after="0" w:line="264" w:lineRule="auto"/>
            </w:pPr>
            <w:r>
              <w:rPr>
                <w:b w:val="0"/>
                <w:sz w:val="19"/>
              </w:rPr>
              <w:t>分析循环范围</w:t>
            </w:r>
          </w:p>
        </w:tc>
        <w:tc>
          <w:tcPr>
            <w:tcW w:type="dxa" w:w="7030"/>
            <w:shd w:fill="FFFFFF"/>
            <w:tcMar>
              <w:top w:w="85" w:type="dxa"/>
              <w:bottom w:w="85" w:type="dxa"/>
              <w:left w:w="85" w:type="dxa"/>
              <w:right w:w="85" w:type="dxa"/>
            </w:tcMar>
          </w:tcPr>
          <w:p>
            <w:pPr>
              <w:spacing w:after="0" w:line="264" w:lineRule="auto"/>
            </w:pPr>
            <w:r>
              <w:rPr>
                <w:b w:val="0"/>
                <w:sz w:val="19"/>
              </w:rPr>
              <w:t>含图像读取、预处理、推理、指标计算及保存；不含审计、模型加载和预热</w:t>
            </w:r>
          </w:p>
        </w:tc>
      </w:tr>
    </w:tbl>
    <w:p>
      <w:pPr>
        <w:spacing w:after="0" w:line="60" w:lineRule="exact" w:before="0"/>
      </w:pPr>
    </w:p>
    <w:p>
      <w:r>
        <w:t>上述速度来自 CPU 单图离线测试，尚不能证明系统可实时处理常见帧率的视频。后续需要单独测量视频解码、抽帧、U-Net 与 Polyp-PVT 双模型推理、融合及网页展示延迟；可调抽帧频率应依据完整链路实测确定。</w:t>
      </w:r>
    </w:p>
    <w:p>
      <w:r>
        <w:br w:type="page"/>
      </w:r>
    </w:p>
    <w:p>
      <w:pPr>
        <w:pStyle w:val="Heading1"/>
      </w:pPr>
      <w:r>
        <w:t>7 数据限制与结果解释</w:t>
      </w:r>
    </w:p>
    <w:p>
      <w:r>
        <w:t>798 个测试条目对应 701 张不同的解码 RGB 图像。共发现 76 组重复图像，其中 58 组跨 CVC-300 与 CVC-ColonDB。为保持原有基准划分，本次未去重；因此 ALL 受重复条目的权重影响，不能视为 798 个独立观测，也不能据此计算可靠的患者级统计显著性。</w:t>
      </w:r>
    </w:p>
    <w:p>
      <w:r>
        <w:t>本次审计验证了合并测试集与五个来源子集的一一映射及内容一致性，但不等于完成训练集与测试集之间的患者级泄漏审计。进入 U-Net 训练前应固定训练清单，并进一步检查训练与测试的图像重复、可获得的来源或序列信息。</w:t>
      </w:r>
    </w:p>
    <w:p>
      <w:r>
        <w:t>测试标注全部含息肉，不能用本实验评估无息肉帧上的特异度、误报率或持续视频中的事件级识别表现。当前结果也没有提供边界专用指标、小息肉分层统计、概率校准或临床效益证据。</w:t>
      </w:r>
    </w:p>
    <w:p>
      <w:pPr>
        <w:pStyle w:val="Heading1"/>
      </w:pPr>
      <w:r>
        <w:t>8 下一阶段实验安排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shd w:fill="234E70"/>
            <w:tcMar>
              <w:top w:w="85" w:type="dxa"/>
              <w:bottom w:w="85" w:type="dxa"/>
              <w:left w:w="85" w:type="dxa"/>
              <w:right w:w="85" w:type="dxa"/>
            </w:tcMar>
          </w:tcPr>
          <w:p>
            <w:pPr>
              <w:spacing w:after="0" w:line="264" w:lineRule="auto"/>
            </w:pPr>
            <w:r>
              <w:rPr>
                <w:b/>
                <w:color w:val="FFFFFF"/>
                <w:sz w:val="19"/>
              </w:rPr>
              <w:t>阶段</w:t>
            </w:r>
          </w:p>
        </w:tc>
        <w:tc>
          <w:tcPr>
            <w:tcW w:type="dxa" w:w="7767"/>
            <w:shd w:fill="234E70"/>
            <w:tcMar>
              <w:top w:w="85" w:type="dxa"/>
              <w:bottom w:w="85" w:type="dxa"/>
              <w:left w:w="85" w:type="dxa"/>
              <w:right w:w="85" w:type="dxa"/>
            </w:tcMar>
          </w:tcPr>
          <w:p>
            <w:pPr>
              <w:spacing w:after="0" w:line="264" w:lineRule="auto"/>
            </w:pPr>
            <w:r>
              <w:rPr>
                <w:b/>
                <w:color w:val="FFFFFF"/>
                <w:sz w:val="19"/>
              </w:rPr>
              <w:t>执行内容与比较原则</w:t>
            </w:r>
          </w:p>
        </w:tc>
      </w:tr>
      <w:tr>
        <w:trPr>
          <w:cantSplit/>
        </w:trPr>
        <w:tc>
          <w:tcPr>
            <w:tcW w:type="dxa" w:w="1871"/>
            <w:shd w:fill="FFFFFF"/>
            <w:tcMar>
              <w:top w:w="85" w:type="dxa"/>
              <w:bottom w:w="85" w:type="dxa"/>
              <w:left w:w="85" w:type="dxa"/>
              <w:right w:w="85" w:type="dxa"/>
            </w:tcMar>
          </w:tcPr>
          <w:p>
            <w:pPr>
              <w:spacing w:after="0" w:line="264" w:lineRule="auto"/>
            </w:pPr>
            <w:r>
              <w:rPr>
                <w:b w:val="0"/>
                <w:sz w:val="19"/>
              </w:rPr>
              <w:t>E1 U-Net</w:t>
            </w:r>
          </w:p>
        </w:tc>
        <w:tc>
          <w:tcPr>
            <w:tcW w:type="dxa" w:w="7767"/>
            <w:shd w:fill="FFFFFF"/>
            <w:tcMar>
              <w:top w:w="85" w:type="dxa"/>
              <w:bottom w:w="85" w:type="dxa"/>
              <w:left w:w="85" w:type="dxa"/>
              <w:right w:w="85" w:type="dxa"/>
            </w:tcMar>
          </w:tcPr>
          <w:p>
            <w:pPr>
              <w:spacing w:after="0" w:line="264" w:lineRule="auto"/>
            </w:pPr>
            <w:r>
              <w:rPr>
                <w:b w:val="0"/>
                <w:sz w:val="19"/>
              </w:rPr>
              <w:t>使用既定 1450 对训练数据训练基础 U-Net；固定训练配置与最终检查点规则，按相同 798 个条目评估</w:t>
            </w:r>
          </w:p>
        </w:tc>
      </w:tr>
      <w:tr>
        <w:trPr>
          <w:cantSplit/>
        </w:trPr>
        <w:tc>
          <w:tcPr>
            <w:tcW w:type="dxa" w:w="1871"/>
            <w:shd w:fill="F1F5F8"/>
            <w:tcMar>
              <w:top w:w="85" w:type="dxa"/>
              <w:bottom w:w="85" w:type="dxa"/>
              <w:left w:w="85" w:type="dxa"/>
              <w:right w:w="85" w:type="dxa"/>
            </w:tcMar>
          </w:tcPr>
          <w:p>
            <w:pPr>
              <w:spacing w:after="0" w:line="264" w:lineRule="auto"/>
            </w:pPr>
            <w:r>
              <w:rPr>
                <w:b w:val="0"/>
                <w:sz w:val="19"/>
              </w:rPr>
              <w:t>E2 与对照</w:t>
            </w:r>
          </w:p>
        </w:tc>
        <w:tc>
          <w:tcPr>
            <w:tcW w:type="dxa" w:w="7767"/>
            <w:shd w:fill="F1F5F8"/>
            <w:tcMar>
              <w:top w:w="85" w:type="dxa"/>
              <w:bottom w:w="85" w:type="dxa"/>
              <w:left w:w="85" w:type="dxa"/>
              <w:right w:w="85" w:type="dxa"/>
            </w:tcMar>
          </w:tcPr>
          <w:p>
            <w:pPr>
              <w:spacing w:after="0" w:line="264" w:lineRule="auto"/>
            </w:pPr>
            <w:r>
              <w:rPr>
                <w:b w:val="0"/>
                <w:sz w:val="19"/>
              </w:rPr>
              <w:t>在 E1 基础上开展低学习率继续训练，并保留等训练步数的原学习率对照，区分学习率与训练时长的影响</w:t>
            </w:r>
          </w:p>
        </w:tc>
      </w:tr>
      <w:tr>
        <w:trPr>
          <w:cantSplit/>
        </w:trPr>
        <w:tc>
          <w:tcPr>
            <w:tcW w:type="dxa" w:w="1871"/>
            <w:shd w:fill="FFFFFF"/>
            <w:tcMar>
              <w:top w:w="85" w:type="dxa"/>
              <w:bottom w:w="85" w:type="dxa"/>
              <w:left w:w="85" w:type="dxa"/>
              <w:right w:w="85" w:type="dxa"/>
            </w:tcMar>
          </w:tcPr>
          <w:p>
            <w:pPr>
              <w:spacing w:after="0" w:line="264" w:lineRule="auto"/>
            </w:pPr>
            <w:r>
              <w:rPr>
                <w:b w:val="0"/>
                <w:sz w:val="19"/>
              </w:rPr>
              <w:t>E3 决策层融合</w:t>
            </w:r>
          </w:p>
        </w:tc>
        <w:tc>
          <w:tcPr>
            <w:tcW w:type="dxa" w:w="7767"/>
            <w:shd w:fill="FFFFFF"/>
            <w:tcMar>
              <w:top w:w="85" w:type="dxa"/>
              <w:bottom w:w="85" w:type="dxa"/>
              <w:left w:w="85" w:type="dxa"/>
              <w:right w:w="85" w:type="dxa"/>
            </w:tcMar>
          </w:tcPr>
          <w:p>
            <w:pPr>
              <w:spacing w:after="0" w:line="264" w:lineRule="auto"/>
            </w:pPr>
            <w:r>
              <w:rPr>
                <w:b w:val="0"/>
                <w:sz w:val="19"/>
              </w:rPr>
              <w:t>将 E2 与 E0 的原始 sigmoid 概率按预设 0.5 / 0.5 权重融合；对齐样本 ID、原始尺寸与阈值，再与两种单模型分别比较</w:t>
            </w:r>
          </w:p>
        </w:tc>
      </w:tr>
      <w:tr>
        <w:trPr>
          <w:cantSplit/>
        </w:trPr>
        <w:tc>
          <w:tcPr>
            <w:tcW w:type="dxa" w:w="1871"/>
            <w:shd w:fill="F1F5F8"/>
            <w:tcMar>
              <w:top w:w="85" w:type="dxa"/>
              <w:bottom w:w="85" w:type="dxa"/>
              <w:left w:w="85" w:type="dxa"/>
              <w:right w:w="85" w:type="dxa"/>
            </w:tcMar>
          </w:tcPr>
          <w:p>
            <w:pPr>
              <w:spacing w:after="0" w:line="264" w:lineRule="auto"/>
            </w:pPr>
            <w:r>
              <w:rPr>
                <w:b w:val="0"/>
                <w:sz w:val="19"/>
              </w:rPr>
              <w:t>共同约束</w:t>
            </w:r>
          </w:p>
        </w:tc>
        <w:tc>
          <w:tcPr>
            <w:tcW w:type="dxa" w:w="7767"/>
            <w:shd w:fill="F1F5F8"/>
            <w:tcMar>
              <w:top w:w="85" w:type="dxa"/>
              <w:bottom w:w="85" w:type="dxa"/>
              <w:left w:w="85" w:type="dxa"/>
              <w:right w:w="85" w:type="dxa"/>
            </w:tcMar>
          </w:tcPr>
          <w:p>
            <w:pPr>
              <w:spacing w:after="0" w:line="264" w:lineRule="auto"/>
            </w:pPr>
            <w:r>
              <w:rPr>
                <w:b w:val="0"/>
                <w:sz w:val="19"/>
              </w:rPr>
              <w:t>保持测试清单和指标实现一致；不使用测试集挑选最佳轮次、融合权重或阈值；报告各子集结果与完整耗时</w:t>
            </w:r>
          </w:p>
        </w:tc>
      </w:tr>
    </w:tbl>
    <w:p>
      <w:pPr>
        <w:spacing w:after="0" w:line="60" w:lineRule="exact" w:before="0"/>
      </w:pPr>
    </w:p>
    <w:p>
      <w:r>
        <w:t>E0 的交付价值是固定且可追踪的模型参照和概率输出。下一步可以进入 E1；是否能够通过继续训练或融合提升性能，应由后续实验验证，不在本阶段预先下结论。</w:t>
      </w:r>
    </w:p>
    <w:p>
      <w:pPr>
        <w:pStyle w:val="Heading1"/>
      </w:pPr>
      <w:r>
        <w:t>9 结果文件与可追溯信息</w:t>
      </w:r>
    </w:p>
    <w:p>
      <w:r>
        <w:t>项目内运行目录：runs/e0_20261004_221345_872444/。run_info.json 记录环境与权重；audit.json 和 manifest.json 记录数据审计及样本；summary.csv、metrics.json 与 per_image.csv 记录统计；probabilities/、masks/ 和 legacy_minmax/ 保存预测结果。</w:t>
      </w:r>
    </w:p>
    <w:p>
      <w:r>
        <w:t>本总结依据上述完整 E0 运行文件整理，并对全部 798 个主协议概率文件、预测掩膜、混淆计数和 Dice 做了独立重算核验。未将 smoke 测试结果合并到本报告。</w:t>
      </w:r>
    </w:p>
    <w:p>
      <w:r>
        <w:t>模型权重 SHA-256：</w:t>
        <w:br/>
        <w:t>aef5ac34f7795b85af0ecbb730502db251d416a73a4c6b04a74e30aa45554048</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52" w:lineRule="auto"/>
      <w:outlineLvl w:val="0"/>
    </w:pPr>
    <w:rPr>
      <w:rFonts w:cstheme="majorBidi" w:ascii="Arial" w:hAnsi="Arial" w:eastAsia="Songti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line="252" w:lineRule="auto"/>
      <w:outlineLvl w:val="1"/>
    </w:pPr>
    <w:rPr>
      <w:rFonts w:cstheme="majorBidi" w:ascii="Arial" w:hAnsi="Arial"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eastAsia="Songti SC"/>
      <w:b/>
      <w:bCs/>
      <w:color w:val="4F81BD" w:themeColor="accent1"/>
    </w:rPr>
  </w:style>
  <w:style w:type="paragraph" w:styleId="Title">
    <w:name w:val="Title"/>
    <w:basedOn w:val="Normal"/>
    <w:next w:val="Normal"/>
    <w:link w:val="TitleChar"/>
    <w:uiPriority w:val="10"/>
    <w:qFormat/>
    <w:rsid w:val="00FC693F"/>
    <w:pPr>
      <w:keepNext/>
      <w:spacing w:after="100" w:line="252" w:lineRule="auto" w:before="140"/>
      <w:contextualSpacing/>
    </w:pPr>
    <w:rPr>
      <w:rFonts w:cstheme="majorBidi" w:ascii="Arial" w:hAnsi="Arial" w:eastAsia="Songti SC"/>
      <w:color w:val="000000"/>
      <w:spacing w:val="5"/>
      <w:kern w:val="28"/>
      <w:sz w:val="48"/>
      <w:szCs w:val="52"/>
    </w:rPr>
  </w:style>
  <w:style w:type="character" w:customStyle="1" w:styleId="TitleChar">
    <w:name w:val="Title Char"/>
    <w:basedOn w:val="DefaultParagraphFont"/>
    <w:link w:val="Title"/>
    <w:uiPriority w:val="10"/>
    <w:rsid w:val="00FC693F"/>
    <w:rPr>
      <w:rFonts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00" w:line="252" w:lineRule="auto" w:before="140"/>
    </w:pPr>
    <w:rPr>
      <w:rFonts w:cstheme="majorBidi" w:ascii="Arial" w:hAnsi="Arial" w:eastAsia="Songti SC"/>
      <w:i/>
      <w:iCs/>
      <w:color w:val="000000"/>
      <w:spacing w:val="15"/>
      <w:sz w:val="22"/>
      <w:szCs w:val="24"/>
    </w:rPr>
  </w:style>
  <w:style w:type="character" w:customStyle="1" w:styleId="SubtitleChar">
    <w:name w:val="Subtitle Char"/>
    <w:basedOn w:val="DefaultParagraphFont"/>
    <w:link w:val="Subtitle"/>
    <w:uiPriority w:val="11"/>
    <w:rsid w:val="00FC693F"/>
    <w:rPr>
      <w:rFonts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pPr>
    <w:rPr>
      <w:rFonts w:ascii="Arial" w:hAnsi="Arial" w:eastAsia="Songti SC"/>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eastAsia="Songti SC"/>
        <w:b/>
        <w:bCs/>
      </w:rPr>
    </w:tblStylePr>
    <w:tblStylePr w:type="lastCol">
      <w:rPr>
        <w:rFonts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eastAsia="Songti SC"/>
        <w:b/>
        <w:bCs/>
      </w:rPr>
    </w:tblStylePr>
    <w:tblStylePr w:type="lastCol">
      <w:rPr>
        <w:rFonts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eastAsia="Songti SC"/>
        <w:b/>
        <w:bCs/>
      </w:rPr>
    </w:tblStylePr>
    <w:tblStylePr w:type="lastCol">
      <w:rPr>
        <w:rFonts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eastAsia="Songti SC"/>
        <w:b/>
        <w:bCs/>
      </w:rPr>
    </w:tblStylePr>
    <w:tblStylePr w:type="lastCol">
      <w:rPr>
        <w:rFonts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eastAsia="Songti SC"/>
        <w:b/>
        <w:bCs/>
      </w:rPr>
    </w:tblStylePr>
    <w:tblStylePr w:type="lastCol">
      <w:rPr>
        <w:rFonts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eastAsia="Songti SC"/>
        <w:b/>
        <w:bCs/>
      </w:rPr>
    </w:tblStylePr>
    <w:tblStylePr w:type="lastCol">
      <w:rPr>
        <w:rFonts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eastAsia="Songti SC"/>
        <w:b/>
        <w:bCs/>
      </w:rPr>
    </w:tblStylePr>
    <w:tblStylePr w:type="lastCol">
      <w:rPr>
        <w:rFonts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EndoLens AI E0 实验结果总结</dc:title>
  <dc:subject/>
  <dc:creator>EndoLens AI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