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EndoLens AI E1 实验结果总结</w:t>
      </w:r>
    </w:p>
    <w:p>
      <w:pPr>
        <w:pStyle w:val="Subtitle"/>
      </w:pPr>
      <w:r>
        <w:t>U-Net 独立训练与固定测试评估  |  实验日期 2026 年 10 月 5 日</w:t>
      </w:r>
    </w:p>
    <w:p>
      <w:r>
        <w:t>E1 已完成 100 轮 U-Net 训练与 798 个测试条目的评估，形成了项目自行训练的单模型基线。平均 Dice 为 0.5707，IoU 为 0.4876；相较 E0 固定 Polyp-PVT，分别低 0.2661 和 0.2754。当前模型尚未达到 E0 的分割表现，后续应通过既定继续训练与对照实验验证改进，再评估融合是否带来收益。</w:t>
      </w:r>
    </w:p>
    <w:p>
      <w:pPr>
        <w:pStyle w:val="Heading1"/>
      </w:pPr>
      <w:r>
        <w:t>1 实验目标与完成状态</w:t>
      </w:r>
    </w:p>
    <w:p>
      <w:r>
        <w:t>E1 沿用 E0 数据划分，从随机初始化训练 U-Net，建立可追溯的单模型基线，保留日志、模型与优化器检查点及原尺寸概率图。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检查项目</w:t>
            </w:r>
          </w:p>
        </w:tc>
        <w:tc>
          <w:tcPr>
            <w:tcW w:type="dxa" w:w="7767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核验结果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训练与评估状态</w:t>
            </w:r>
          </w:p>
        </w:tc>
        <w:tc>
          <w:tcPr>
            <w:tcW w:type="dxa" w:w="77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FULL_E1 / COMPLETED；100 轮完成，798 / 798 个测试条目完成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数据审计</w:t>
            </w:r>
          </w:p>
        </w:tc>
        <w:tc>
          <w:tcPr>
            <w:tcW w:type="dxa" w:w="776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1450 对训练数据；完全相同训练与测试 RGB 图像重叠数为 0；测试清单与 E0 一致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检查点选择</w:t>
            </w:r>
          </w:p>
        </w:tc>
        <w:tc>
          <w:tcPr>
            <w:tcW w:type="dxa" w:w="77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固定第 100 轮最终权重；没有按测试分数挑选 best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独立结果核验</w:t>
            </w:r>
          </w:p>
        </w:tc>
        <w:tc>
          <w:tcPr>
            <w:tcW w:type="dxa" w:w="776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798 份概率与掩膜、逐图 TP/FP/FN、Dice、IoU、MAE、分组均值及 E0 差值全部复算通过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2 模型与训练配置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7767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实际设置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模型结构</w:t>
            </w:r>
          </w:p>
        </w:tc>
        <w:tc>
          <w:tcPr>
            <w:tcW w:type="dxa" w:w="77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四次下采样与上采样的 padded U-Net；通道 64/128/256/512/1024；31,031,745 个参数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模块与初始化</w:t>
            </w:r>
          </w:p>
        </w:tc>
        <w:tc>
          <w:tcPr>
            <w:tcW w:type="dxa" w:w="776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3×3 Conv + ReLU；max pooling；转置卷积与 skip 拼接；无 BatchNorm/dropout；随机初始化，无预训练编码器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输入与增强</w:t>
            </w:r>
          </w:p>
        </w:tc>
        <w:tc>
          <w:tcPr>
            <w:tcW w:type="dxa" w:w="77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RGB 352×352；bilinear resize；/255 与 ImageNet mean/std；配对水平/垂直翻转各 p=0.5；标签 nearest resize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优化与损失</w:t>
            </w:r>
          </w:p>
        </w:tc>
        <w:tc>
          <w:tcPr>
            <w:tcW w:type="dxa" w:w="776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AdamW，lr=1e-4，weight decay=1e-4；BCEWithLogits + 每图 soft Dice loss，系数各 1，smooth=1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轮数与批量</w:t>
            </w:r>
          </w:p>
        </w:tc>
        <w:tc>
          <w:tcPr>
            <w:tcW w:type="dxa" w:w="77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100 轮；物理 batch 2 × 累积 4 = 有效 batch 8；seed 42；float32；无 scheduler/早停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训练环境</w:t>
            </w:r>
          </w:p>
        </w:tc>
        <w:tc>
          <w:tcPr>
            <w:tcW w:type="dxa" w:w="776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Windows / CUDA；Python 3.11.17，torch 2.9.1+cu128，NumPy 1.26.4，Pillow 10.2.0；使用 RTX 5060 笔记本 GPU（8 GB）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评估环境</w:t>
            </w:r>
          </w:p>
        </w:tc>
        <w:tc>
          <w:tcPr>
            <w:tcW w:type="dxa" w:w="77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Mac CPU，4 线程，batch 1，预热 3 次；Python 3.10.21，torch 2.2.2；NumPy/Pillow 版本与训练一致</w:t>
            </w:r>
          </w:p>
        </w:tc>
      </w:tr>
    </w:tbl>
    <w:p>
      <w:pPr>
        <w:spacing w:after="0" w:line="80" w:lineRule="exact"/>
      </w:pPr>
    </w:p>
    <w:p>
      <w:pPr>
        <w:pStyle w:val="Heading1"/>
        <w:pageBreakBefore/>
      </w:pPr>
      <w:r>
        <w:t>3 训练过程与实际耗时</w:t>
      </w:r>
    </w:p>
    <w:p>
      <w:r>
        <w:t>训练于新加坡时间 00:12:48 开始，02:23:05 完成，约 2 小时 10 分 17 秒。100 轮合计完成 18,200 次参数更新；每轮均使用 1450 个样本，未丢弃最后不足完整 batch 的条目。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5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全部 100 轮的训练总损失、BCE 与 soft Dice loss；这些曲线均来自训练批次。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2721"/>
        <w:gridCol w:w="2721"/>
        <w:gridCol w:w="3005"/>
      </w:tblGrid>
      <w:tr>
        <w:trPr>
          <w:cantSplit/>
          <w:tblHeader/>
        </w:trPr>
        <w:tc>
          <w:tcPr>
            <w:tcW w:type="dxa" w:w="119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72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总损失</w:t>
            </w:r>
          </w:p>
        </w:tc>
        <w:tc>
          <w:tcPr>
            <w:tcW w:type="dxa" w:w="272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BCE</w:t>
            </w:r>
          </w:p>
        </w:tc>
        <w:tc>
          <w:tcPr>
            <w:tcW w:type="dxa" w:w="300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Soft Dice loss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72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1.1572</w:t>
            </w:r>
          </w:p>
        </w:tc>
        <w:tc>
          <w:tcPr>
            <w:tcW w:type="dxa" w:w="272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0.3841</w:t>
            </w:r>
          </w:p>
        </w:tc>
        <w:tc>
          <w:tcPr>
            <w:tcW w:type="dxa" w:w="300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0.7731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72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0.6514</w:t>
            </w:r>
          </w:p>
        </w:tc>
        <w:tc>
          <w:tcPr>
            <w:tcW w:type="dxa" w:w="272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0.2414</w:t>
            </w:r>
          </w:p>
        </w:tc>
        <w:tc>
          <w:tcPr>
            <w:tcW w:type="dxa" w:w="300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0.4100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272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0.3306</w:t>
            </w:r>
          </w:p>
        </w:tc>
        <w:tc>
          <w:tcPr>
            <w:tcW w:type="dxa" w:w="272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0.1392</w:t>
            </w:r>
          </w:p>
        </w:tc>
        <w:tc>
          <w:tcPr>
            <w:tcW w:type="dxa" w:w="300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0.1914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272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0.2006</w:t>
            </w:r>
          </w:p>
        </w:tc>
        <w:tc>
          <w:tcPr>
            <w:tcW w:type="dxa" w:w="272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0.0853</w:t>
            </w:r>
          </w:p>
        </w:tc>
        <w:tc>
          <w:tcPr>
            <w:tcW w:type="dxa" w:w="300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0.1154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80</w:t>
            </w:r>
          </w:p>
        </w:tc>
        <w:tc>
          <w:tcPr>
            <w:tcW w:type="dxa" w:w="272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0.1101</w:t>
            </w:r>
          </w:p>
        </w:tc>
        <w:tc>
          <w:tcPr>
            <w:tcW w:type="dxa" w:w="272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0.0444</w:t>
            </w:r>
          </w:p>
        </w:tc>
        <w:tc>
          <w:tcPr>
            <w:tcW w:type="dxa" w:w="300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0.0657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98</w:t>
            </w:r>
          </w:p>
        </w:tc>
        <w:tc>
          <w:tcPr>
            <w:tcW w:type="dxa" w:w="272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0.0775</w:t>
            </w:r>
          </w:p>
        </w:tc>
        <w:tc>
          <w:tcPr>
            <w:tcW w:type="dxa" w:w="272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0.0291</w:t>
            </w:r>
          </w:p>
        </w:tc>
        <w:tc>
          <w:tcPr>
            <w:tcW w:type="dxa" w:w="300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0.0483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99</w:t>
            </w:r>
          </w:p>
        </w:tc>
        <w:tc>
          <w:tcPr>
            <w:tcW w:type="dxa" w:w="272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0.1159</w:t>
            </w:r>
          </w:p>
        </w:tc>
        <w:tc>
          <w:tcPr>
            <w:tcW w:type="dxa" w:w="272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0.0451</w:t>
            </w:r>
          </w:p>
        </w:tc>
        <w:tc>
          <w:tcPr>
            <w:tcW w:type="dxa" w:w="300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0.0708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72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0.1124</w:t>
            </w:r>
          </w:p>
        </w:tc>
        <w:tc>
          <w:tcPr>
            <w:tcW w:type="dxa" w:w="272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0.0447</w:t>
            </w:r>
          </w:p>
        </w:tc>
        <w:tc>
          <w:tcPr>
            <w:tcW w:type="dxa" w:w="300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0.0677</w:t>
            </w:r>
          </w:p>
        </w:tc>
      </w:tr>
    </w:tbl>
    <w:p>
      <w:pPr>
        <w:spacing w:after="0" w:line="80" w:lineRule="exact"/>
      </w:pPr>
    </w:p>
    <w:p>
      <w:r>
        <w:t>总损失由第 1 轮的 1.1572 降至第 100 轮的 0.1124，下降约 90.3%。最低训练总损失出现在第 98 轮（0.0775），第 99–100 轮有所回升，说明末期仍存在波动。仍按预先固定规则报告第 100 轮，不事后更换到训练损失最低的检查点。</w:t>
      </w:r>
    </w:p>
    <w:p>
      <w:r>
        <w:t>末轮 soft Dice loss 为 0.0677，其补值约 0.9323，但这是增强训练批次中的 soft Dice，不能当作独立训练集评估分数，也不能直接与原图尺寸的测试二值 Dice 比较。训练曲线下降说明优化过程有效，不能单凭它证明泛化充分或确定过拟合。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时间口径</w:t>
            </w:r>
          </w:p>
        </w:tc>
        <w:tc>
          <w:tcPr>
            <w:tcW w:type="dxa" w:w="7200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实际记录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训练轮循环</w:t>
            </w:r>
          </w:p>
        </w:tc>
        <w:tc>
          <w:tcPr>
            <w:tcW w:type="dxa" w:w="7200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合计 7739.46 秒；平均每轮 77.39 秒，中位数 77.39 秒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训练运行总时长</w:t>
            </w:r>
          </w:p>
        </w:tc>
        <w:tc>
          <w:tcPr>
            <w:tcW w:type="dxa" w:w="7200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7816.91 秒；包含审计、初始化、轮循环和检查点保存；不含稍后在 Mac 的评估</w:t>
            </w:r>
          </w:p>
        </w:tc>
      </w:tr>
    </w:tbl>
    <w:p>
      <w:pPr>
        <w:spacing w:after="0" w:line="80" w:lineRule="exact"/>
      </w:pPr>
    </w:p>
    <w:p>
      <w:pPr>
        <w:pStyle w:val="Heading1"/>
        <w:pageBreakBefore/>
      </w:pPr>
      <w:r>
        <w:t>4 分数据集结果与 E0 对比</w:t>
      </w:r>
    </w:p>
    <w:p>
      <w:r>
        <w:t>两种模型使用相同 798 个条目，以原图尺寸、概率阈值 0.5 计算逐图 Dice/IoU，再求均值。ALL 按图像条目加权；Δ 为 E1 − E0，负值表示 E1 分数更低。ETIS 为 ETIS-LaribPolypDB 的简称。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567"/>
        <w:gridCol w:w="1162"/>
        <w:gridCol w:w="1162"/>
        <w:gridCol w:w="1162"/>
        <w:gridCol w:w="1162"/>
        <w:gridCol w:w="1162"/>
        <w:gridCol w:w="1162"/>
      </w:tblGrid>
      <w:tr>
        <w:trPr>
          <w:cantSplit/>
          <w:tblHeader/>
        </w:trPr>
        <w:tc>
          <w:tcPr>
            <w:tcW w:type="dxa" w:w="209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数据集</w:t>
            </w:r>
          </w:p>
        </w:tc>
        <w:tc>
          <w:tcPr>
            <w:tcW w:type="dxa" w:w="567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162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E0 Dice</w:t>
            </w:r>
          </w:p>
        </w:tc>
        <w:tc>
          <w:tcPr>
            <w:tcW w:type="dxa" w:w="1162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E1 Dice</w:t>
            </w:r>
          </w:p>
        </w:tc>
        <w:tc>
          <w:tcPr>
            <w:tcW w:type="dxa" w:w="1162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Δ Dice</w:t>
            </w:r>
          </w:p>
        </w:tc>
        <w:tc>
          <w:tcPr>
            <w:tcW w:type="dxa" w:w="1162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E0 IoU</w:t>
            </w:r>
          </w:p>
        </w:tc>
        <w:tc>
          <w:tcPr>
            <w:tcW w:type="dxa" w:w="1162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E1 IoU</w:t>
            </w:r>
          </w:p>
        </w:tc>
        <w:tc>
          <w:tcPr>
            <w:tcW w:type="dxa" w:w="1162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Δ IoU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5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798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0.8368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0.5707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-0.2661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0.7630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0.4876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-0.2754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Kvasir</w:t>
            </w:r>
          </w:p>
        </w:tc>
        <w:tc>
          <w:tcPr>
            <w:tcW w:type="dxa" w:w="56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0.9204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0.7891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-0.1313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0.8676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0.6962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-0.1714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CVC-ClinicDB</w:t>
            </w:r>
          </w:p>
        </w:tc>
        <w:tc>
          <w:tcPr>
            <w:tcW w:type="dxa" w:w="5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62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0.9403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0.7808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-0.1596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0.8932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0.7196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-0.1737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CVC-ColonDB</w:t>
            </w:r>
          </w:p>
        </w:tc>
        <w:tc>
          <w:tcPr>
            <w:tcW w:type="dxa" w:w="56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380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0.8114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0.5612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-0.2502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0.7304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0.4734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-0.2570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ETIS</w:t>
            </w:r>
          </w:p>
        </w:tc>
        <w:tc>
          <w:tcPr>
            <w:tcW w:type="dxa" w:w="5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196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0.7901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0.3769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-0.4133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0.7090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0.3054</w:t>
            </w:r>
          </w:p>
        </w:tc>
        <w:tc>
          <w:tcPr>
            <w:tcW w:type="dxa" w:w="116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-0.4036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CVC-300</w:t>
            </w:r>
          </w:p>
        </w:tc>
        <w:tc>
          <w:tcPr>
            <w:tcW w:type="dxa" w:w="56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0.9039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0.6830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-0.2209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0.8370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0.5855</w:t>
            </w:r>
          </w:p>
        </w:tc>
        <w:tc>
          <w:tcPr>
            <w:tcW w:type="dxa" w:w="116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-0.2515</w:t>
            </w:r>
          </w:p>
        </w:tc>
      </w:tr>
    </w:tbl>
    <w:p>
      <w:pPr>
        <w:spacing w:after="0" w:line="80" w:lineRule="exact"/>
      </w:pP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5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五个测试子集的平均 Dice 对比；固定 E0 在全部子集的平均分均高于 E1。</w:t>
      </w:r>
    </w:p>
    <w:p>
      <w:r>
        <w:t>E1 的 Dice 在 Kvasir 为 0.7891，在 CVC-ClinicDB 为 0.7808；ETIS 为 0.3769，是本轮最弱子集，与 E0 相差 0.4133。CVC-ColonDB 与 ETIS 合计占 72.2% 的测试条目，其较低表现显著拉低整体平均值。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2438"/>
        <w:gridCol w:w="3685"/>
      </w:tblGrid>
      <w:tr>
        <w:trPr>
          <w:cantSplit/>
          <w:tblHeader/>
        </w:trPr>
        <w:tc>
          <w:tcPr>
            <w:tcW w:type="dxa" w:w="351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数据集</w:t>
            </w:r>
          </w:p>
        </w:tc>
        <w:tc>
          <w:tcPr>
            <w:tcW w:type="dxa" w:w="243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E1 MAE ↓</w:t>
            </w:r>
          </w:p>
        </w:tc>
        <w:tc>
          <w:tcPr>
            <w:tcW w:type="dxa" w:w="368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Dice &lt; 0.5 条目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ALL</w:t>
            </w:r>
          </w:p>
        </w:tc>
        <w:tc>
          <w:tcPr>
            <w:tcW w:type="dxa" w:w="243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0.04836</w:t>
            </w:r>
          </w:p>
        </w:tc>
        <w:tc>
          <w:tcPr>
            <w:tcW w:type="dxa" w:w="368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273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Kvasir</w:t>
            </w:r>
          </w:p>
        </w:tc>
        <w:tc>
          <w:tcPr>
            <w:tcW w:type="dxa" w:w="243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0.06181</w:t>
            </w:r>
          </w:p>
        </w:tc>
        <w:tc>
          <w:tcPr>
            <w:tcW w:type="dxa" w:w="368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CVC-ClinicDB</w:t>
            </w:r>
          </w:p>
        </w:tc>
        <w:tc>
          <w:tcPr>
            <w:tcW w:type="dxa" w:w="243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0.02724</w:t>
            </w:r>
          </w:p>
        </w:tc>
        <w:tc>
          <w:tcPr>
            <w:tcW w:type="dxa" w:w="368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CVC-ColonDB</w:t>
            </w:r>
          </w:p>
        </w:tc>
        <w:tc>
          <w:tcPr>
            <w:tcW w:type="dxa" w:w="243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0.05447</w:t>
            </w:r>
          </w:p>
        </w:tc>
        <w:tc>
          <w:tcPr>
            <w:tcW w:type="dxa" w:w="368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125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ETIS</w:t>
            </w:r>
          </w:p>
        </w:tc>
        <w:tc>
          <w:tcPr>
            <w:tcW w:type="dxa" w:w="243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0.04470</w:t>
            </w:r>
          </w:p>
        </w:tc>
        <w:tc>
          <w:tcPr>
            <w:tcW w:type="dxa" w:w="368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115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CVC-300</w:t>
            </w:r>
          </w:p>
        </w:tc>
        <w:tc>
          <w:tcPr>
            <w:tcW w:type="dxa" w:w="243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0.02104</w:t>
            </w:r>
          </w:p>
        </w:tc>
        <w:tc>
          <w:tcPr>
            <w:tcW w:type="dxa" w:w="368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</w:tr>
    </w:tbl>
    <w:p>
      <w:pPr>
        <w:spacing w:after="0" w:line="80" w:lineRule="exact"/>
      </w:pPr>
    </w:p>
    <w:p>
      <w:r>
        <w:t>整体 MAE 为 0.04836，高于 E0 的 0.02185。MAE 对前景比例敏感：ETIS 的 MAE 小于 Kvasir，不意味着其分割更好，应结合 Dice、IoU 与实际掩膜解释。</w:t>
      </w:r>
    </w:p>
    <w:p>
      <w:pPr>
        <w:pStyle w:val="Heading1"/>
        <w:pageBreakBefore/>
      </w:pPr>
      <w:r>
        <w:t>5 逐图分布与模型互补性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175"/>
        <w:gridCol w:w="3175"/>
      </w:tblGrid>
      <w:tr>
        <w:trPr>
          <w:cantSplit/>
          <w:tblHeader/>
        </w:trPr>
        <w:tc>
          <w:tcPr>
            <w:tcW w:type="dxa" w:w="328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分布指标</w:t>
            </w:r>
          </w:p>
        </w:tc>
        <w:tc>
          <w:tcPr>
            <w:tcW w:type="dxa" w:w="317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E0</w:t>
            </w:r>
          </w:p>
        </w:tc>
        <w:tc>
          <w:tcPr>
            <w:tcW w:type="dxa" w:w="317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E1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中位数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0.9282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0.7116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四分位区间</w:t>
            </w:r>
          </w:p>
        </w:tc>
        <w:tc>
          <w:tcPr>
            <w:tcW w:type="dxa" w:w="317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0.8175–0.9573</w:t>
            </w:r>
          </w:p>
        </w:tc>
        <w:tc>
          <w:tcPr>
            <w:tcW w:type="dxa" w:w="317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0.1293–0.9014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≥ 0.9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488 / 798（61.2%）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202 / 798（25.3%）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&lt; 0.5</w:t>
            </w:r>
          </w:p>
        </w:tc>
        <w:tc>
          <w:tcPr>
            <w:tcW w:type="dxa" w:w="317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68 / 798（8.5%）</w:t>
            </w:r>
          </w:p>
        </w:tc>
        <w:tc>
          <w:tcPr>
            <w:tcW w:type="dxa" w:w="317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273 / 798（34.2%）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= 0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14 / 798（1.8%）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158 / 798（19.8%）</w:t>
            </w:r>
          </w:p>
        </w:tc>
      </w:tr>
    </w:tbl>
    <w:p>
      <w:pPr>
        <w:spacing w:after="0" w:line="80" w:lineRule="exact"/>
      </w:pPr>
    </w:p>
    <w:p>
      <w:r>
        <w:t>E1 的 158 个零 Dice 条目中，90 个产生全背景预测，68 个虽有前景预测但与真实标注完全无重叠。这些图像条目计数不能解释为临床漏诊率。</w:t>
      </w:r>
    </w:p>
    <w:p>
      <w:r>
        <w:t>逐图比较中，E1 在 94 个条目（11.8%）上高于 E0，693 个（86.8%）上低于 E0，11 个持平。E0 的 68 个低分条目中，E1 只有 5 个达到 Dice ≥ 0.5；相反，E1 的低分条目中有 210 个在 E0 上达到 Dice ≥ 0.5。</w:t>
      </w:r>
    </w:p>
    <w:p>
      <w:r>
        <w:t>这说明 U-Net 在个别图像上可能提供互补预测，但目前整体质量明显较弱。逐图分数胜出不等同于像素级概率互补，也不能证明等权融合一定提升性能；E3 必须与两个单模型分别比较。</w:t>
      </w:r>
    </w:p>
    <w:p>
      <w:pPr>
        <w:pStyle w:val="Heading1"/>
      </w:pPr>
      <w:r>
        <w:t>6 CPU 推理耗时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3061"/>
        <w:gridCol w:w="3061"/>
      </w:tblGrid>
      <w:tr>
        <w:trPr>
          <w:cantSplit/>
          <w:tblHeader/>
        </w:trPr>
        <w:tc>
          <w:tcPr>
            <w:tcW w:type="dxa" w:w="351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测量项</w:t>
            </w:r>
          </w:p>
        </w:tc>
        <w:tc>
          <w:tcPr>
            <w:tcW w:type="dxa" w:w="306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E0 Polyp-PVT</w:t>
            </w:r>
          </w:p>
        </w:tc>
        <w:tc>
          <w:tcPr>
            <w:tcW w:type="dxa" w:w="306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E1 U-Net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平均前向耗时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197.78 ms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349.99 ms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前向耗时中位数</w:t>
            </w:r>
          </w:p>
        </w:tc>
        <w:tc>
          <w:tcPr>
            <w:tcW w:type="dxa" w:w="306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197.24 ms</w:t>
            </w:r>
          </w:p>
        </w:tc>
        <w:tc>
          <w:tcPr>
            <w:tcW w:type="dxa" w:w="306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353.03 ms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前向吞吐折算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5.06 张/秒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2.86 张/秒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全部测试分析循环</w:t>
            </w:r>
          </w:p>
        </w:tc>
        <w:tc>
          <w:tcPr>
            <w:tcW w:type="dxa" w:w="306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226.30 秒</w:t>
            </w:r>
          </w:p>
        </w:tc>
        <w:tc>
          <w:tcPr>
            <w:tcW w:type="dxa" w:w="306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346.46 秒</w:t>
            </w:r>
          </w:p>
        </w:tc>
      </w:tr>
    </w:tbl>
    <w:p>
      <w:pPr>
        <w:spacing w:after="0" w:line="80" w:lineRule="exact"/>
      </w:pPr>
    </w:p>
    <w:p>
      <w:r>
        <w:t>E1 前向耗时 P95 为 381.15 ms。本次同一 Mac、CPU 4 线程、torch 2.2.2 的测量中，E1 平均前向耗时约为 E0 的 1.77 倍；尚未获得 U-Net 的速度优势。上述为单次运行结果，系统负载会影响计时。</w:t>
      </w:r>
    </w:p>
    <w:p>
      <w:r>
        <w:t>前向计时不含读图、预处理、插值、sigmoid、指标与文件写入。分析循环含这些操作，但不含数据审计、加载权重及预热。这里的约 2.86 张/秒不能视为视频或网页端到端处理速度。RTX 5060 的训练时间也不能替代 GPU 推理延迟。</w:t>
      </w:r>
    </w:p>
    <w:p>
      <w:pPr>
        <w:pStyle w:val="Heading1"/>
        <w:pageBreakBefore/>
      </w:pPr>
      <w:r>
        <w:t>7 代表样本的分割对照</w:t>
      </w:r>
    </w:p>
    <w:p>
      <w:r>
        <w:t>按确定性规则选取三个条目：E1 Dice 排序居中的第 400 个条目、E1 相对 E0 Dice 增益最大条目、下降最大条目；相同时按样本 ID 排序。极值样本用于解释差异，不代表平均表现。白色为前景掩膜。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488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8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原图、真实标注、E0 和 E1 的掩膜对照；保留图像原始宽高比例。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39"/>
        <w:gridCol w:w="1814"/>
        <w:gridCol w:w="1814"/>
        <w:gridCol w:w="1871"/>
      </w:tblGrid>
      <w:tr>
        <w:trPr>
          <w:cantSplit/>
          <w:tblHeader/>
        </w:trPr>
        <w:tc>
          <w:tcPr>
            <w:tcW w:type="dxa" w:w="4139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样本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E0 Dice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E1 Dice</w:t>
            </w:r>
          </w:p>
        </w:tc>
        <w:tc>
          <w:tcPr>
            <w:tcW w:type="dxa" w:w="187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Δ Dice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ETIS-LaribPolypDB/133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0.9596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0.7121</w:t>
            </w:r>
          </w:p>
        </w:tc>
        <w:tc>
          <w:tcPr>
            <w:tcW w:type="dxa" w:w="187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-0.2475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CVC-ColonDB/366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0.1237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0.7916</w:t>
            </w:r>
          </w:p>
        </w:tc>
        <w:tc>
          <w:tcPr>
            <w:tcW w:type="dxa" w:w="187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+0.6679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CVC-300/171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0.9743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0.0016</w:t>
            </w:r>
          </w:p>
        </w:tc>
        <w:tc>
          <w:tcPr>
            <w:tcW w:type="dxa" w:w="187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-0.9727</w:t>
            </w:r>
          </w:p>
        </w:tc>
      </w:tr>
    </w:tbl>
    <w:p>
      <w:pPr>
        <w:spacing w:after="0" w:line="80" w:lineRule="exact"/>
      </w:pPr>
    </w:p>
    <w:p>
      <w:r>
        <w:t>CVC-ColonDB/366 展示了 E1 相对 E0 的最大增益（+0.6679），支持继续分析模型互补性；CVC-300/171 展示最大下降（−0.9727），说明当前 U-Net 也存在明显分割失败。具体错误形态可由掩膜对照观察，但本轮没有边界指标或病灶大小分层，不能据几个示例宣称改善了小息肉或边界。</w:t>
      </w:r>
    </w:p>
    <w:p>
      <w:pPr>
        <w:pStyle w:val="Heading1"/>
        <w:pageBreakBefore/>
      </w:pPr>
      <w:r>
        <w:t>8 结果解释与适用限制</w:t>
      </w:r>
    </w:p>
    <w:p>
      <w:r>
        <w:t>E1 的训练损失明显下降，但测试表现仍较弱。当前证据支持“完成了训练基线，泛化表现需要改善”，不足以确定问题完全来自过拟合、模型结构或预处理。E0 使用既有 Polyp-PVT 权重，E1 从随机初始化训练，二者是项目模型方案比较，不能把分数差异全部归因于 CNN 与 Transformer 架构。</w:t>
      </w:r>
    </w:p>
    <w:p>
      <w:r>
        <w:t>本轮保存结果的指标重算、代码和最终权重哈希均通过，减少了清单或输出统计错误的可能性。训练与评估分别使用 Windows CUDA / torch 2.9.1 和 Mac CPU / torch 2.2.2；当前仍缺同一最终权重的 CUDA 与 CPU 输出一致性实测。建议在排查环节固定少量样本检查两端概率，而非据测试分数选择设备。</w:t>
      </w:r>
    </w:p>
    <w:p>
      <w:r>
        <w:t>798 个测试条目仅对应 701 张不同的解码 RGB 图像，存在 76 组重复内容。保持原划分有利于与 E0 对齐，但条目并非全部独立。训练与测试的完全相同 RGB 图像重叠为 0，并不证明患者或序列级独立。测试标注全部含息肉，不能评估无息肉帧误报、视频事件识别或临床效益。</w:t>
      </w:r>
    </w:p>
    <w:p>
      <w:pPr>
        <w:pStyle w:val="Heading1"/>
      </w:pPr>
      <w:r>
        <w:t>9 下一阶段实验安排</w:t>
      </w:r>
    </w:p>
    <w:p>
      <w:r>
        <w:t>首先保留本次 E1 第 100 轮作为固定基线。若开展训练管线排查，可在预先选定的训练样本上检查图像与标签变换、损失和预测，并固定最终检查点做跨后端比较；不要用测试集反复挑选阈值或回溯 best epoch。</w:t>
      </w:r>
    </w:p>
    <w:p>
      <w:r>
        <w:t>按既定路线，由相同 E1 第 100 轮检查点和优化器状态分别启动两组实验：E2-Control 以 lr=1e-4 继续 20 轮；E2 以 lr=1e-5 继续 20 轮。其他设置保持一致，使用预定最终轮次，区分增加训练时长与降低学习率的作用。</w:t>
      </w:r>
    </w:p>
    <w:p>
      <w:r>
        <w:t>完成两组评估后，E3 按预定 0.5 / 0.5 权重融合 E2 与固定 E0 的原始 sigmoid 概率。对齐 sample_id、原图尺寸及前景语义，以相同阈值和指标评估；报告融合相对两种单模型的变化，即使融合没有提升也如实保留结果。当前 E1 的弱势使融合收益更不确定，不能预先写成已实现优化。</w:t>
      </w:r>
    </w:p>
    <w:p>
      <w:pPr>
        <w:pStyle w:val="Heading1"/>
      </w:pPr>
      <w:r>
        <w:t>10 实验文件与可追溯信息</w:t>
      </w:r>
    </w:p>
    <w:p>
      <w:r>
        <w:t>运行目录：runs/e1_unet_cuda_seed42/。评估目录：evaluation_cpu_20261005_023119_069660/。训练日志记录完整 100 轮；评估提供 per_image.csv、summary.csv、metrics.json、comparison_e0_e1.csv、原尺寸 probabilities/ 及 masks/。</w:t>
      </w:r>
    </w:p>
    <w:p>
      <w:r>
        <w:t>checkpoints/unet_final.pth 为固定第 100 轮评估模型；checkpoints/last.pth 还包含优化器状态，后续 E2 应保留。源码哈希、数据签名与运行环境记录在 run_info.json；训练/测试审计结果和 manifest 同时保留。</w:t>
      </w:r>
    </w:p>
    <w:p>
      <w:r>
        <w:t>最终模型 SHA-256：</w:t>
        <w:br/>
        <w:t>a04d147ac62ca6e96fb8162828ec1b8dfed1a0c183d99b0892268e7ef9348a78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Song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rial" w:hAnsi="Arial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cstheme="majorBidi" w:ascii="Arial" w:hAnsi="Arial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0" w:lineRule="auto"/>
      <w:outlineLvl w:val="1"/>
    </w:pPr>
    <w:rPr>
      <w:rFonts w:cstheme="majorBidi"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Song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Song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Song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Song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50" w:lineRule="auto" w:before="140"/>
      <w:contextualSpacing/>
    </w:pPr>
    <w:rPr>
      <w:rFonts w:cstheme="majorBidi" w:ascii="Arial" w:hAnsi="Arial" w:eastAsia="Song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Song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line="250" w:lineRule="auto" w:before="140"/>
    </w:pPr>
    <w:rPr>
      <w:rFonts w:cstheme="majorBidi" w:ascii="Arial" w:hAnsi="Arial" w:eastAsia="Songti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Song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Song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Song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Song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Song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Song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Song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Song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0" w:lineRule="auto" w:after="160"/>
    </w:pPr>
    <w:rPr>
      <w:rFonts w:ascii="Arial" w:hAnsi="Arial" w:eastAsia="Songti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EndoLens AI E1 实验结果总结</dc:title>
  <dc:subject/>
  <dc:creator>EndoLens 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