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b/>
          <w:bCs/>
          <w:color w:val="888888"/>
          <w:sz w:val="20"/>
          <w:szCs w:val="20"/>
        </w:rPr>
        <w:t xml:space="preserve">PRODUCT REQUIREMENTS DOCUMENT</w:t>
      </w:r>
    </w:p>
    <w:p>
      <w:pPr>
        <w:spacing w:after="120" w:before="0"/>
        <w:jc w:val="center"/>
      </w:pPr>
      <w:r>
        <w:rPr>
          <w:rFonts w:ascii="Arial" w:cs="Arial" w:eastAsia="Arial" w:hAnsi="Arial"/>
          <w:b/>
          <w:bCs/>
          <w:color w:val="1B4F8A"/>
          <w:sz w:val="48"/>
          <w:szCs w:val="48"/>
        </w:rPr>
        <w:t xml:space="preserve">Panel de Gestión de Turnos con IA</w:t>
      </w:r>
    </w:p>
    <w:p>
      <w:pPr>
        <w:spacing w:after="60" w:before="0"/>
        <w:jc w:val="center"/>
      </w:pPr>
      <w:r>
        <w:rPr>
          <w:rFonts w:ascii="Arial" w:cs="Arial" w:eastAsia="Arial" w:hAnsi="Arial"/>
          <w:color w:val="2C5F8A"/>
          <w:sz w:val="26"/>
          <w:szCs w:val="26"/>
        </w:rPr>
        <w:t xml:space="preserve">Instituto Lavalle 11 · Bahía Blanca</w:t>
      </w:r>
    </w:p>
    <w:p>
      <w:pPr>
        <w:spacing w:after="0" w:before="6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tcMar>
              <w:top w:type="dxa" w:w="60"/>
              <w:left w:type="dxa" w:w="120"/>
              <w:bottom w:type="dxa" w:w="60"/>
              <w:right w:type="dxa" w:w="80"/>
            </w:tcMar>
          </w:tcPr>
          <w:p>
            <w:pPr>
              <w:jc w:val="right"/>
            </w:pPr>
            <w:r>
              <w:rPr>
                <w:rFonts w:ascii="Arial" w:cs="Arial" w:eastAsia="Arial" w:hAnsi="Arial"/>
                <w:b/>
                <w:bCs/>
                <w:color w:val="555555"/>
                <w:sz w:val="18"/>
                <w:szCs w:val="18"/>
              </w:rPr>
              <w:t xml:space="preserve">Versión:</w:t>
            </w:r>
          </w:p>
        </w:tc>
        <w:tc>
          <w:tcPr>
            <w:tcW w:type="dxa" w:w="25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1A1A1A"/>
                <w:sz w:val="18"/>
                <w:szCs w:val="18"/>
              </w:rPr>
              <w:t xml:space="preserve">1.0 — Draft</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80"/>
            </w:tcMar>
          </w:tcPr>
          <w:p>
            <w:pPr>
              <w:jc w:val="right"/>
            </w:pPr>
            <w:r>
              <w:rPr>
                <w:rFonts w:ascii="Arial" w:cs="Arial" w:eastAsia="Arial" w:hAnsi="Arial"/>
                <w:b/>
                <w:bCs/>
                <w:color w:val="555555"/>
                <w:sz w:val="18"/>
                <w:szCs w:val="18"/>
              </w:rPr>
              <w:t xml:space="preserve">Fecha:</w:t>
            </w:r>
          </w:p>
        </w:tc>
        <w:tc>
          <w:tcPr>
            <w:tcW w:type="dxa" w:w="25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1A1A1A"/>
                <w:sz w:val="18"/>
                <w:szCs w:val="18"/>
              </w:rPr>
              <w:t xml:space="preserve">Junio 2026</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80"/>
            </w:tcMar>
          </w:tcPr>
          <w:p>
            <w:pPr>
              <w:jc w:val="right"/>
            </w:pPr>
            <w:r>
              <w:rPr>
                <w:rFonts w:ascii="Arial" w:cs="Arial" w:eastAsia="Arial" w:hAnsi="Arial"/>
                <w:b/>
                <w:bCs/>
                <w:color w:val="555555"/>
                <w:sz w:val="18"/>
                <w:szCs w:val="18"/>
              </w:rPr>
              <w:t xml:space="preserve">Autor:</w:t>
            </w:r>
          </w:p>
        </w:tc>
        <w:tc>
          <w:tcPr>
            <w:tcW w:type="dxa" w:w="25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1A1A1A"/>
                <w:sz w:val="18"/>
                <w:szCs w:val="18"/>
              </w:rPr>
              <w:t xml:space="preserve">RIA · r-ia.vercel.app</w:t>
            </w:r>
          </w:p>
        </w:tc>
      </w:tr>
      <w:tr>
        <w:tc>
          <w:tcPr>
            <w:tcW w:type="dxa" w:w="2500"/>
            <w:tcBorders>
              <w:top w:val="none" w:color="FFFFFF" w:sz="0"/>
              <w:left w:val="none" w:color="FFFFFF" w:sz="0"/>
              <w:bottom w:val="none" w:color="FFFFFF" w:sz="0"/>
              <w:right w:val="none" w:color="FFFFFF" w:sz="0"/>
            </w:tcBorders>
            <w:tcMar>
              <w:top w:type="dxa" w:w="60"/>
              <w:left w:type="dxa" w:w="120"/>
              <w:bottom w:type="dxa" w:w="60"/>
              <w:right w:type="dxa" w:w="80"/>
            </w:tcMar>
          </w:tcPr>
          <w:p>
            <w:pPr>
              <w:jc w:val="right"/>
            </w:pPr>
            <w:r>
              <w:rPr>
                <w:rFonts w:ascii="Arial" w:cs="Arial" w:eastAsia="Arial" w:hAnsi="Arial"/>
                <w:b/>
                <w:bCs/>
                <w:color w:val="555555"/>
                <w:sz w:val="18"/>
                <w:szCs w:val="18"/>
              </w:rPr>
              <w:t xml:space="preserve">Cliente:</w:t>
            </w:r>
          </w:p>
        </w:tc>
        <w:tc>
          <w:tcPr>
            <w:tcW w:type="dxa" w:w="25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1A1A1A"/>
                <w:sz w:val="18"/>
                <w:szCs w:val="18"/>
              </w:rPr>
              <w:t xml:space="preserve">Instituto Lavalle 11 / Gamma Laboratorios</w:t>
            </w:r>
          </w:p>
        </w:tc>
      </w:tr>
    </w:tbl>
    <w:p>
      <w:pPr>
        <w:spacing w:after="0" w:before="200"/>
      </w:pPr>
      <w:r>
        <w:t xml:space="preserve"/>
      </w:r>
    </w:p>
    <w:p>
      <w:r>
        <w:br w:type="page"/>
      </w:r>
    </w:p>
    <w:p>
      <w:pPr>
        <w:pStyle w:val="Heading1"/>
        <w:pBdr>
          <w:bottom w:val="single" w:color="2C5F8A" w:sz="6" w:space="4"/>
        </w:pBdr>
        <w:spacing w:after="200" w:before="400"/>
      </w:pPr>
      <w:r>
        <w:rPr>
          <w:rFonts w:ascii="Arial" w:cs="Arial" w:eastAsia="Arial" w:hAnsi="Arial"/>
          <w:b/>
          <w:bCs/>
          <w:color w:val="1B4F8A"/>
          <w:sz w:val="32"/>
          <w:szCs w:val="32"/>
        </w:rPr>
        <w:t xml:space="preserve">1. Contexto y problema</w:t>
      </w:r>
    </w:p>
    <w:p>
      <w:pPr>
        <w:pStyle w:val="Heading2"/>
        <w:spacing w:after="120" w:before="280"/>
      </w:pPr>
      <w:r>
        <w:rPr>
          <w:rFonts w:ascii="Arial" w:cs="Arial" w:eastAsia="Arial" w:hAnsi="Arial"/>
          <w:b/>
          <w:bCs/>
          <w:color w:val="2C5F8A"/>
          <w:sz w:val="24"/>
          <w:szCs w:val="24"/>
        </w:rPr>
        <w:t xml:space="preserve">1.1 El cliente</w:t>
      </w:r>
    </w:p>
    <w:p>
      <w:pPr>
        <w:spacing w:after="60" w:before="60"/>
      </w:pPr>
      <w:r>
        <w:rPr>
          <w:rFonts w:ascii="Arial" w:cs="Arial" w:eastAsia="Arial" w:hAnsi="Arial"/>
          <w:color w:val="1A1A1A"/>
          <w:sz w:val="20"/>
          <w:szCs w:val="20"/>
        </w:rPr>
        <w:t xml:space="preserve">Instituto Lavalle 11 es un centro de diagnóstico por imágenes ubicado en Bahía Blanca, Argentina. Opera en dos sedes: Lavalle 11 (sede principal, estudios generales) y Chiclana 385 (Medicina Nuclear: PET CT, SPECT CT, Centellograma, Perfusión Miocárdica, Cámara Gamma). El instituto comparte infraestructura administrativa con GAMA Laboratorios, con quienes comparten el número de WhatsApp y la cuenta de Callbell.</w:t>
      </w:r>
    </w:p>
    <w:p>
      <w:pPr>
        <w:spacing w:after="0" w:before="80"/>
      </w:pPr>
      <w:r>
        <w:t xml:space="preserve"/>
      </w:r>
    </w:p>
    <w:p>
      <w:pPr>
        <w:spacing w:after="60" w:before="60"/>
      </w:pPr>
      <w:r>
        <w:rPr>
          <w:rFonts w:ascii="Arial" w:cs="Arial" w:eastAsia="Arial" w:hAnsi="Arial"/>
          <w:color w:val="1A1A1A"/>
          <w:sz w:val="20"/>
          <w:szCs w:val="20"/>
        </w:rPr>
        <w:t xml:space="preserve">El catálogo de prácticas incluye: ecografías (adultos y pediátricas), ecocardiograma Doppler Color, mamografías, densitometría ósea, radiografías, espinografías, panorámicas dentales, TAC Cone Beam, punciones y biopsias (mama, tiroides, próstata), marcaciones prequirúrgicas, traumatología, ozonoterapia, y el espectro completo de Medicina Nuclear en Chiclana.</w:t>
      </w:r>
    </w:p>
    <w:p>
      <w:pPr>
        <w:spacing w:after="0" w:before="120"/>
      </w:pPr>
      <w:r>
        <w:t xml:space="preserve"/>
      </w:r>
    </w:p>
    <w:p>
      <w:pPr>
        <w:pStyle w:val="Heading2"/>
        <w:spacing w:after="120" w:before="280"/>
      </w:pPr>
      <w:r>
        <w:rPr>
          <w:rFonts w:ascii="Arial" w:cs="Arial" w:eastAsia="Arial" w:hAnsi="Arial"/>
          <w:b/>
          <w:bCs/>
          <w:color w:val="2C5F8A"/>
          <w:sz w:val="24"/>
          <w:szCs w:val="24"/>
        </w:rPr>
        <w:t xml:space="preserve">1.2 El sistema actual</w:t>
      </w:r>
    </w:p>
    <w:p>
      <w:pPr>
        <w:spacing w:after="60" w:before="60"/>
      </w:pPr>
      <w:r>
        <w:rPr>
          <w:rFonts w:ascii="Arial" w:cs="Arial" w:eastAsia="Arial" w:hAnsi="Arial"/>
          <w:color w:val="1A1A1A"/>
          <w:sz w:val="20"/>
          <w:szCs w:val="20"/>
        </w:rPr>
        <w:t xml:space="preserve">La gestión de turnos opera íntegramente a través de WhatsApp, centralizado en Callbell — una plataforma CRM de mensajería multiagente. El flujo actual tiene tres capas: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Un bot que recibe el mensaje inicial y guía al paciente por un menú de opciones numeradas</w:t>
      </w:r>
    </w:p>
    <w:p>
      <w:pPr>
        <w:pStyle w:val="ListParagraph"/>
        <w:numPr>
          <w:ilvl w:val="0"/>
          <w:numId w:val="2"/>
        </w:numPr>
        <w:spacing w:after="40" w:before="40"/>
      </w:pPr>
      <w:r>
        <w:rPr>
          <w:rFonts w:ascii="Arial" w:cs="Arial" w:eastAsia="Arial" w:hAnsi="Arial"/>
          <w:b w:val="false"/>
          <w:bCs w:val="false"/>
          <w:color w:val="1A1A1A"/>
          <w:sz w:val="20"/>
          <w:szCs w:val="20"/>
        </w:rPr>
        <w:t xml:space="preserve">Una cola de conversaciones que los asesores atienden manualmente dentro de Callbell</w:t>
      </w:r>
    </w:p>
    <w:p>
      <w:pPr>
        <w:pStyle w:val="ListParagraph"/>
        <w:numPr>
          <w:ilvl w:val="0"/>
          <w:numId w:val="2"/>
        </w:numPr>
        <w:spacing w:after="40" w:before="40"/>
      </w:pPr>
      <w:r>
        <w:rPr>
          <w:rFonts w:ascii="Arial" w:cs="Arial" w:eastAsia="Arial" w:hAnsi="Arial"/>
          <w:b w:val="false"/>
          <w:bCs w:val="false"/>
          <w:color w:val="1A1A1A"/>
          <w:sz w:val="20"/>
          <w:szCs w:val="20"/>
        </w:rPr>
        <w:t xml:space="preserve">Llamadas telefónicas desde celulares personales para casos que requieren voz</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6"/>
              <w:bottom w:val="none" w:color="FFFFFF" w:sz="0"/>
              <w:right w:val="none" w:color="FFFFFF" w:sz="0"/>
            </w:tcBorders>
            <w:shd w:fill="FAEEDA" w:val="clear"/>
            <w:tcMar>
              <w:top w:type="dxa" w:w="120"/>
              <w:left w:type="dxa" w:w="200"/>
              <w:bottom w:type="dxa" w:w="120"/>
              <w:right w:type="dxa" w:w="160"/>
            </w:tcMar>
          </w:tcPr>
          <w:p>
            <w:r>
              <w:rPr>
                <w:rFonts w:ascii="Arial" w:cs="Arial" w:eastAsia="Arial" w:hAnsi="Arial"/>
                <w:i/>
                <w:iCs/>
                <w:color w:val="1A1A1A"/>
                <w:sz w:val="19"/>
                <w:szCs w:val="19"/>
              </w:rPr>
              <w:t xml:space="preserve">Costo mensual estimado de Callbell: ~$585 USD. De ese total, $54 USD corresponden a mensajes y ~$25 USD adicionales en excedentes. La cuenta es compartida con GAMA Laboratorios, lo que dificulta la atribución real del gasto por área.</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1.3 Los problemas identificados</w:t>
      </w:r>
    </w:p>
    <w:p>
      <w:pPr>
        <w:spacing w:after="60" w:before="60"/>
      </w:pPr>
      <w:r>
        <w:rPr>
          <w:rFonts w:ascii="Arial" w:cs="Arial" w:eastAsia="Arial" w:hAnsi="Arial"/>
          <w:i/>
          <w:iCs/>
          <w:color w:val="555555"/>
          <w:sz w:val="20"/>
          <w:szCs w:val="20"/>
        </w:rPr>
        <w:t xml:space="preserve">Los siguientes problemas fueron relevados en reunión con el equipo operativo y validados con análisis de conversaciones reales exportadas de Callbell.</w:t>
      </w:r>
    </w:p>
    <w:p>
      <w:pPr>
        <w:spacing w:after="0" w:before="80"/>
      </w:pPr>
      <w:r>
        <w:t xml:space="preserve"/>
      </w:r>
    </w:p>
    <w:p>
      <w:pPr>
        <w:spacing w:after="80" w:before="200"/>
      </w:pPr>
      <w:r>
        <w:rPr>
          <w:rFonts w:ascii="Arial" w:cs="Arial" w:eastAsia="Arial" w:hAnsi="Arial"/>
          <w:b/>
          <w:bCs/>
          <w:color w:val="1A1A1A"/>
          <w:sz w:val="21"/>
          <w:szCs w:val="21"/>
        </w:rPr>
        <w:t xml:space="preserve">Cuello de botella humano</w:t>
      </w:r>
    </w:p>
    <w:p>
      <w:pPr>
        <w:spacing w:after="60" w:before="60"/>
      </w:pPr>
      <w:r>
        <w:rPr>
          <w:rFonts w:ascii="Arial" w:cs="Arial" w:eastAsia="Arial" w:hAnsi="Arial"/>
          <w:color w:val="1A1A1A"/>
          <w:sz w:val="20"/>
          <w:szCs w:val="20"/>
        </w:rPr>
        <w:t xml:space="preserve">El instituto recibe entre 40 y 80 mensajes por día. Cuenta con 4 asesores registrados en Callbell pero solo ~1.5 están operativos frente a pantalla en simultáneo. Cada caso requiere que el asesor lea el chat completo, interprete la orden médica, identifique la obra social, evalúe si requiere copago o llamada, redacte la respuesta y registre el turno en el RIS (IT SOS). Este proceso manual genera una acumulación de casos sin atender.</w:t>
      </w:r>
    </w:p>
    <w:p>
      <w:pPr>
        <w:spacing w:after="0" w:before="80"/>
      </w:pPr>
      <w:r>
        <w:t xml:space="preserve"/>
      </w:r>
    </w:p>
    <w:p>
      <w:pPr>
        <w:spacing w:after="80" w:before="200"/>
      </w:pPr>
      <w:r>
        <w:rPr>
          <w:rFonts w:ascii="Arial" w:cs="Arial" w:eastAsia="Arial" w:hAnsi="Arial"/>
          <w:b/>
          <w:bCs/>
          <w:color w:val="1A1A1A"/>
          <w:sz w:val="21"/>
          <w:szCs w:val="21"/>
        </w:rPr>
        <w:t xml:space="preserve">El bot no reconoce adjuntos ni texto libre</w:t>
      </w:r>
    </w:p>
    <w:p>
      <w:pPr>
        <w:spacing w:after="60" w:before="60"/>
      </w:pPr>
      <w:r>
        <w:rPr>
          <w:rFonts w:ascii="Arial" w:cs="Arial" w:eastAsia="Arial" w:hAnsi="Arial"/>
          <w:color w:val="1A1A1A"/>
          <w:sz w:val="20"/>
          <w:szCs w:val="20"/>
        </w:rPr>
        <w:t xml:space="preserve">En el 100% de los casos analizados, los pacientes que enviaron PDFs o imágenes de órdenes médicas en el primer mensaje fueron ignorados por el bot, que los redirigió al menú genérico. Los pacientes que escribieron consultas en texto libre también fueron forzados al menú aunque ya habían proporcionado toda la información necesaria.</w:t>
      </w:r>
    </w:p>
    <w:p>
      <w:pPr>
        <w:spacing w:after="0" w:before="80"/>
      </w:pPr>
      <w:r>
        <w:t xml:space="preserve"/>
      </w:r>
    </w:p>
    <w:p>
      <w:pPr>
        <w:spacing w:after="80" w:before="200"/>
      </w:pPr>
      <w:r>
        <w:rPr>
          <w:rFonts w:ascii="Arial" w:cs="Arial" w:eastAsia="Arial" w:hAnsi="Arial"/>
          <w:b/>
          <w:bCs/>
          <w:color w:val="1A1A1A"/>
          <w:sz w:val="21"/>
          <w:szCs w:val="21"/>
        </w:rPr>
        <w:t xml:space="preserve">Sin memoria entre sesiones</w:t>
      </w:r>
    </w:p>
    <w:p>
      <w:pPr>
        <w:spacing w:after="60" w:before="60"/>
      </w:pPr>
      <w:r>
        <w:rPr>
          <w:rFonts w:ascii="Arial" w:cs="Arial" w:eastAsia="Arial" w:hAnsi="Arial"/>
          <w:color w:val="1A1A1A"/>
          <w:sz w:val="20"/>
          <w:szCs w:val="20"/>
        </w:rPr>
        <w:t xml:space="preserve">Cuando un paciente vuelve a escribir — ya sea al día siguiente o semanas después — el bot lo trata como un contacto nuevo. El asesor no tiene visibilidad inmediata del historial anterior. Esto genera duplicación de trabajo y pérdida de contexto.</w:t>
      </w:r>
    </w:p>
    <w:p>
      <w:pPr>
        <w:spacing w:after="0" w:before="80"/>
      </w:pPr>
      <w:r>
        <w:t xml:space="preserve"/>
      </w:r>
    </w:p>
    <w:p>
      <w:pPr>
        <w:spacing w:after="80" w:before="200"/>
      </w:pPr>
      <w:r>
        <w:rPr>
          <w:rFonts w:ascii="Arial" w:cs="Arial" w:eastAsia="Arial" w:hAnsi="Arial"/>
          <w:b/>
          <w:bCs/>
          <w:color w:val="1A1A1A"/>
          <w:sz w:val="21"/>
          <w:szCs w:val="21"/>
        </w:rPr>
        <w:t xml:space="preserve">Llamadas fuera del sistema</w:t>
      </w:r>
    </w:p>
    <w:p>
      <w:pPr>
        <w:spacing w:after="60" w:before="60"/>
      </w:pPr>
      <w:r>
        <w:rPr>
          <w:rFonts w:ascii="Arial" w:cs="Arial" w:eastAsia="Arial" w:hAnsi="Arial"/>
          <w:color w:val="1A1A1A"/>
          <w:sz w:val="20"/>
          <w:szCs w:val="20"/>
        </w:rPr>
        <w:t xml:space="preserve">Los casos que requieren voz se resuelven llamando desde celulares personales de los asesores. Estas llamadas no quedan registradas en ningún lado. Callbell ofrece llamadas de voz pero las cobra aparte, por lo que el equipo las evita. El resultado es trabajo invisible y sin trazabilidad.</w:t>
      </w:r>
    </w:p>
    <w:p>
      <w:pPr>
        <w:spacing w:after="0" w:before="80"/>
      </w:pPr>
      <w:r>
        <w:t xml:space="preserve"/>
      </w:r>
    </w:p>
    <w:p>
      <w:pPr>
        <w:spacing w:after="80" w:before="200"/>
      </w:pPr>
      <w:r>
        <w:rPr>
          <w:rFonts w:ascii="Arial" w:cs="Arial" w:eastAsia="Arial" w:hAnsi="Arial"/>
          <w:b/>
          <w:bCs/>
          <w:color w:val="1A1A1A"/>
          <w:sz w:val="21"/>
          <w:szCs w:val="21"/>
        </w:rPr>
        <w:t xml:space="preserve">Transcripción manual de órdenes médicas</w:t>
      </w:r>
    </w:p>
    <w:p>
      <w:pPr>
        <w:spacing w:after="60" w:before="60"/>
      </w:pPr>
      <w:r>
        <w:rPr>
          <w:rFonts w:ascii="Arial" w:cs="Arial" w:eastAsia="Arial" w:hAnsi="Arial"/>
          <w:color w:val="1A1A1A"/>
          <w:sz w:val="20"/>
          <w:szCs w:val="20"/>
        </w:rPr>
        <w:t xml:space="preserve">Las órdenes médicas son documentos manuscritos enviados como foto o PDF. Los asesores las leen, interpretan y transcriben manualmente al sistema. Este proceso es lento, propenso a errores, y en casos complejos requiere interpretación médica que el asesor no siempre puede hacer con certeza.</w:t>
      </w:r>
    </w:p>
    <w:p>
      <w:pPr>
        <w:spacing w:after="0" w:before="80"/>
      </w:pPr>
      <w:r>
        <w:t xml:space="preserve"/>
      </w:r>
    </w:p>
    <w:p>
      <w:pPr>
        <w:spacing w:after="80" w:before="200"/>
      </w:pPr>
      <w:r>
        <w:rPr>
          <w:rFonts w:ascii="Arial" w:cs="Arial" w:eastAsia="Arial" w:hAnsi="Arial"/>
          <w:b/>
          <w:bCs/>
          <w:color w:val="1A1A1A"/>
          <w:sz w:val="21"/>
          <w:szCs w:val="21"/>
        </w:rPr>
        <w:t xml:space="preserve">Casos caídos sin seguimiento</w:t>
      </w:r>
    </w:p>
    <w:p>
      <w:pPr>
        <w:spacing w:after="60" w:before="60"/>
      </w:pPr>
      <w:r>
        <w:rPr>
          <w:rFonts w:ascii="Arial" w:cs="Arial" w:eastAsia="Arial" w:hAnsi="Arial"/>
          <w:color w:val="1A1A1A"/>
          <w:sz w:val="20"/>
          <w:szCs w:val="20"/>
        </w:rPr>
        <w:t xml:space="preserve">En el análisis de conversaciones reales se detectaron casos donde la conversación fue reasignada entre 4 o 5 asesores distintos sin resolución, o donde se generó una nota interna ("ver con X el lunes") sin mecanismo de seguimiento. El caso más extremo registra 3 contactos del mismo número en 9 meses sobre el mismo tema sin resolución.</w:t>
      </w:r>
    </w:p>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2. Objetivo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16"/>
              <w:bottom w:val="none" w:color="FFFFFF" w:sz="0"/>
              <w:right w:val="none" w:color="FFFFFF" w:sz="0"/>
            </w:tcBorders>
            <w:shd w:fill="EEF4FB" w:val="clear"/>
            <w:tcMar>
              <w:top w:type="dxa" w:w="120"/>
              <w:left w:type="dxa" w:w="200"/>
              <w:bottom w:type="dxa" w:w="120"/>
              <w:right w:type="dxa" w:w="160"/>
            </w:tcMar>
          </w:tcPr>
          <w:p>
            <w:r>
              <w:rPr>
                <w:rFonts w:ascii="Arial" w:cs="Arial" w:eastAsia="Arial" w:hAnsi="Arial"/>
                <w:i/>
                <w:iCs/>
                <w:color w:val="1A1A1A"/>
                <w:sz w:val="19"/>
                <w:szCs w:val="19"/>
              </w:rPr>
              <w:t xml:space="preserve">Construir una capa inteligente que se sienta entre Callbell y los asesores. No reemplaza Callbell — lo hace invisible. El asesor trabaja exclusivamente en el panel propio, donde cada caso ya fue procesado por IA y está listo para una decisión humana en segundos.</w:t>
            </w:r>
          </w:p>
        </w:tc>
      </w:tr>
    </w:tbl>
    <w:p>
      <w:pPr>
        <w:spacing w:after="0" w:before="120"/>
      </w:pPr>
      <w:r>
        <w:t xml:space="preserve"/>
      </w:r>
    </w:p>
    <w:p>
      <w:pPr>
        <w:spacing w:after="60" w:before="60"/>
      </w:pPr>
      <w:r>
        <w:rPr>
          <w:rFonts w:ascii="Arial" w:cs="Arial" w:eastAsia="Arial" w:hAnsi="Arial"/>
          <w:color w:val="1A1A1A"/>
          <w:sz w:val="20"/>
          <w:szCs w:val="20"/>
        </w:rPr>
        <w:t xml:space="preserve">El sistema tiene tres funciones centrales: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Analizar automáticamente cada conversación entrante de Callbell — texto e imágenes — y extraer información estructurada</w:t>
      </w:r>
    </w:p>
    <w:p>
      <w:pPr>
        <w:pStyle w:val="ListParagraph"/>
        <w:numPr>
          <w:ilvl w:val="0"/>
          <w:numId w:val="2"/>
        </w:numPr>
        <w:spacing w:after="40" w:before="40"/>
      </w:pPr>
      <w:r>
        <w:rPr>
          <w:rFonts w:ascii="Arial" w:cs="Arial" w:eastAsia="Arial" w:hAnsi="Arial"/>
          <w:b w:val="false"/>
          <w:bCs w:val="false"/>
          <w:color w:val="1A1A1A"/>
          <w:sz w:val="20"/>
          <w:szCs w:val="20"/>
        </w:rPr>
        <w:t xml:space="preserve">Presentar cada caso como una card en un panel web, con toda la información procesada y las acciones disponibles</w:t>
      </w:r>
    </w:p>
    <w:p>
      <w:pPr>
        <w:pStyle w:val="ListParagraph"/>
        <w:numPr>
          <w:ilvl w:val="0"/>
          <w:numId w:val="2"/>
        </w:numPr>
        <w:spacing w:after="40" w:before="40"/>
      </w:pPr>
      <w:r>
        <w:rPr>
          <w:rFonts w:ascii="Arial" w:cs="Arial" w:eastAsia="Arial" w:hAnsi="Arial"/>
          <w:b w:val="false"/>
          <w:bCs w:val="false"/>
          <w:color w:val="1A1A1A"/>
          <w:sz w:val="20"/>
          <w:szCs w:val="20"/>
        </w:rPr>
        <w:t xml:space="preserve">Ejecutar las acciones del asesor — confirmar turno, enviar mensaje, registrar llamada, derivar — enviando las respuestas de vuelta a Callbell/WhatsApp</w:t>
      </w:r>
    </w:p>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3. Usuarios del sistema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Asesores (4)</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Franco Berardi, Brenda Gandolfi, Catalina Herold, Macarena Abdala. Acceso completo al panel. Pueden tomar, asignar y resolver casos.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Administrador</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Franco Berardi (referente operativo). Acceso adicional a métricas, configuración de obras sociales y gestión de usuarios.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Sede Chiclana</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Recibe derivaciones de Medicina Nuclear. Por ahora no opera en el panel — recibe notificaciones por WhatsApp con los datos del paciente.</w:t>
            </w:r>
          </w:p>
        </w:tc>
      </w:tr>
    </w:tbl>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4. Tipos de caso</w:t>
      </w:r>
    </w:p>
    <w:p>
      <w:pPr>
        <w:spacing w:after="60" w:before="60"/>
      </w:pPr>
      <w:r>
        <w:rPr>
          <w:rFonts w:ascii="Arial" w:cs="Arial" w:eastAsia="Arial" w:hAnsi="Arial"/>
          <w:i/>
          <w:iCs/>
          <w:color w:val="555555"/>
          <w:sz w:val="20"/>
          <w:szCs w:val="20"/>
        </w:rPr>
        <w:t xml:space="preserve">Clasificación basada en análisis de conversaciones reales exportadas de Callbell. Cada tipo de caso tiene su propio flujo en el panel.</w:t>
      </w:r>
    </w:p>
    <w:p>
      <w:pPr>
        <w:spacing w:after="0" w:before="120"/>
      </w:pPr>
      <w:r>
        <w:t xml:space="preserve"/>
      </w:r>
    </w:p>
    <w:p>
      <w:pPr>
        <w:pStyle w:val="Heading2"/>
        <w:spacing w:after="120" w:before="280"/>
      </w:pPr>
      <w:r>
        <w:rPr>
          <w:rFonts w:ascii="Arial" w:cs="Arial" w:eastAsia="Arial" w:hAnsi="Arial"/>
          <w:b/>
          <w:bCs/>
          <w:color w:val="2C5F8A"/>
          <w:sz w:val="24"/>
          <w:szCs w:val="24"/>
        </w:rPr>
        <w:t xml:space="preserve">4.1 Turno con orden médica</w:t>
      </w:r>
    </w:p>
    <w:tbl>
      <w:tblPr>
        <w:tblW w:type="dxa" w:w="9360"/>
        <w:tblBorders>
          <w:top w:val="single" w:color="0F6E56"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TIPO A  ·  Turno estándar con orden</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Origen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Paciente envía datos + foto/PDF de orden médica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Frecuencia</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Alta — es el caso más común</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IA procesa</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Extrae: práctica, obra social, nº afiliado, médico derivante, diagnóstico, flags de preparación</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Asesor decide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Fecha y hora de turno, confirmación de cobertura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Turno asignado — mensaje automático con instrucciones</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4.2 Sin turno previo</w:t>
      </w:r>
    </w:p>
    <w:tbl>
      <w:tblPr>
        <w:tblW w:type="dxa" w:w="9360"/>
        <w:tblBorders>
          <w:top w:val="single" w:color="0F6E56"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E1F5EE" w:val="clear"/>
            <w:tcMar>
              <w:top w:type="dxa" w:w="80"/>
              <w:left w:type="dxa" w:w="160"/>
              <w:bottom w:type="dxa" w:w="80"/>
              <w:right w:type="dxa" w:w="120"/>
            </w:tcMar>
          </w:tcPr>
          <w:p>
            <w:r>
              <w:rPr>
                <w:rFonts w:ascii="Arial" w:cs="Arial" w:eastAsia="Arial" w:hAnsi="Arial"/>
                <w:b/>
                <w:bCs/>
                <w:color w:val="0F6E56"/>
                <w:sz w:val="20"/>
                <w:szCs w:val="20"/>
              </w:rPr>
              <w:t xml:space="preserve">TIPO B  ·  Estudio sin turno (orden de llegada)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Estudios</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Radiografías, panorámicas dentales, TAC Cone Beam</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Resolución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Automática — sin intervención del asesor</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IA detecta</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Práctica en lista de estudios sin turno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Sistema envía</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Mensaje estándar: horario, documentación requerida, precio si aplica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Automático — Consulta resuelta</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4.3 Consulta de precio</w:t>
      </w:r>
    </w:p>
    <w:tbl>
      <w:tblPr>
        <w:tblW w:type="dxa" w:w="9360"/>
        <w:tblBorders>
          <w:top w:val="single" w:color="2C5F8A"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bCs/>
                <w:color w:val="2C5F8A"/>
                <w:sz w:val="20"/>
                <w:szCs w:val="20"/>
              </w:rPr>
              <w:t xml:space="preserve">TIPO C  ·  Consulta de precios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Origen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Paciente pregunta por precios de uno o varios estudios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Tabla de precios</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Google Sheets mantenida por el equipo (transferencia / efectivo)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IA detecta</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Práctica consultada y obra social (si aplica)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Resolución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Semiautomática — el panel genera la respuesta con precios actualizados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Estado especial</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Esperando respuesta — card no se cierra hasta que el paciente decida</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4.4 Copago / requiere llamada</w:t>
      </w:r>
    </w:p>
    <w:tbl>
      <w:tblPr>
        <w:tblW w:type="dxa" w:w="9360"/>
        <w:tblBorders>
          <w:top w:val="single" w:color="854F0B"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FAEEDA" w:val="clear"/>
            <w:tcMar>
              <w:top w:type="dxa" w:w="80"/>
              <w:left w:type="dxa" w:w="160"/>
              <w:bottom w:type="dxa" w:w="80"/>
              <w:right w:type="dxa" w:w="120"/>
            </w:tcMar>
          </w:tcPr>
          <w:p>
            <w:r>
              <w:rPr>
                <w:rFonts w:ascii="Arial" w:cs="Arial" w:eastAsia="Arial" w:hAnsi="Arial"/>
                <w:b/>
                <w:bCs/>
                <w:color w:val="854F0B"/>
                <w:sz w:val="20"/>
                <w:szCs w:val="20"/>
              </w:rPr>
              <w:t xml:space="preserve">TIPO D  ·  Caso con copago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Origen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Obra social con copago detectada en tabla de coberturas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Flag automático</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Requiere llamada — el número del paciente aparece con botón directo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Canal de llamada</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WhatsApp Desktop via wa.me/ — por WiFi, sin costo de línea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Registro</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El panel registra: asesor, hora, duración estimada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Turno asignado o Pendiente según resultado de la llamada</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4.5 Medicina Nuclear — derivación Chiclana</w:t>
      </w:r>
    </w:p>
    <w:tbl>
      <w:tblPr>
        <w:tblW w:type="dxa" w:w="9360"/>
        <w:tblBorders>
          <w:top w:val="single" w:color="2C5F8A"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bCs/>
                <w:color w:val="2C5F8A"/>
                <w:sz w:val="20"/>
                <w:szCs w:val="20"/>
              </w:rPr>
              <w:t xml:space="preserve">TIPO E  ·  Derivación a Medicina Nuclear</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Detección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IA identifica PET CT, SPECT CT, Centellograma, Perfusión Miocárdica, Cámara Gamma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Acción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Card con flag CHICLANA — asesor confirma y el sistema notifica a la secretaria de Chiclana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Notificación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WhatsApp al número de Chiclana con: nombre, DNI, práctica, orden adjunta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Al paciente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Mensaje con número de Chiclana (291 4027333) y aviso de que los contactarán</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Derivado a Medicina Nuclear — Chiclana</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4.6 Resultado / informe en portal</w:t>
      </w:r>
    </w:p>
    <w:tbl>
      <w:tblPr>
        <w:tblW w:type="dxa" w:w="9360"/>
        <w:tblBorders>
          <w:top w:val="single" w:color="555555"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555555"/>
                <w:sz w:val="20"/>
                <w:szCs w:val="20"/>
              </w:rPr>
              <w:t xml:space="preserve">TIPO F  ·  Consulta de resultados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Origen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Paciente no puede acceder al portal o el informe no está disponible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Sub-casos</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1) Informe listo → link al portal con instrucciones. 2) DNI cargado mal en RIS → verificar y corregir. 3) Informe no generado aún → registrar pendiente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Nota importante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Radiografías solicitadas por traumatólogos no incluyen informe escrito — regla de negocio fija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Consulta resuelta Portal Web o Error de datos en RIS</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4.7 Contacto institucional recurrente</w:t>
      </w:r>
    </w:p>
    <w:tbl>
      <w:tblPr>
        <w:tblW w:type="dxa" w:w="9360"/>
        <w:tblBorders>
          <w:top w:val="single" w:color="2C5F8A"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EEF4FB" w:val="clear"/>
            <w:tcMar>
              <w:top w:type="dxa" w:w="80"/>
              <w:left w:type="dxa" w:w="160"/>
              <w:bottom w:type="dxa" w:w="80"/>
              <w:right w:type="dxa" w:w="120"/>
            </w:tcMar>
          </w:tcPr>
          <w:p>
            <w:r>
              <w:rPr>
                <w:rFonts w:ascii="Arial" w:cs="Arial" w:eastAsia="Arial" w:hAnsi="Arial"/>
                <w:b/>
                <w:bCs/>
                <w:color w:val="2C5F8A"/>
                <w:sz w:val="20"/>
                <w:szCs w:val="20"/>
              </w:rPr>
              <w:t xml:space="preserve">TIPO G  ·  Médico / consultorio derivante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Ejemplo real</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Consultorio Dra. Paola Biondi — deriva pacientes para CBCT dental</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Detección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El sistema reconoce el número como contacto institucional por historial</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Problema frecuente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Reconstrucciones incompletas o no cargadas en portal médico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Acción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Notificación interna al área odontológica del instituto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Consulta resuelta o Reconstrucciones pendientes</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4.8 Presupuesto punción / biopsia</w:t>
      </w:r>
    </w:p>
    <w:tbl>
      <w:tblPr>
        <w:tblW w:type="dxa" w:w="9360"/>
        <w:tblBorders>
          <w:top w:val="single" w:color="854F0B"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FAEEDA" w:val="clear"/>
            <w:tcMar>
              <w:top w:type="dxa" w:w="80"/>
              <w:left w:type="dxa" w:w="160"/>
              <w:bottom w:type="dxa" w:w="80"/>
              <w:right w:type="dxa" w:w="120"/>
            </w:tcMar>
          </w:tcPr>
          <w:p>
            <w:r>
              <w:rPr>
                <w:rFonts w:ascii="Arial" w:cs="Arial" w:eastAsia="Arial" w:hAnsi="Arial"/>
                <w:b/>
                <w:bCs/>
                <w:color w:val="854F0B"/>
                <w:sz w:val="20"/>
                <w:szCs w:val="20"/>
              </w:rPr>
              <w:t xml:space="preserve">TIPO H  ·  Punción o biopsia — presupuesto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Flujo</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Primero presupuesto → luego turno (dos pasos separados)</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Complejidad</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Pueden requerir código FEMEBA o presupuesto particular según obra social</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Estado especial</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Presupuesto pendiente — con fecha de seguimiento obligatoria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Riesgo</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Caso más propenso a caerse sin resolución — requiere seguimiento activo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Turno asignado (después del presupuesto aprobado)</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4.9 Reprogramación</w:t>
      </w:r>
    </w:p>
    <w:tbl>
      <w:tblPr>
        <w:tblW w:type="dxa" w:w="9360"/>
        <w:tblBorders>
          <w:top w:val="single" w:color="555555"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F5F5F5" w:val="clear"/>
            <w:tcMar>
              <w:top w:type="dxa" w:w="80"/>
              <w:left w:type="dxa" w:w="160"/>
              <w:bottom w:type="dxa" w:w="80"/>
              <w:right w:type="dxa" w:w="120"/>
            </w:tcMar>
          </w:tcPr>
          <w:p>
            <w:r>
              <w:rPr>
                <w:rFonts w:ascii="Arial" w:cs="Arial" w:eastAsia="Arial" w:hAnsi="Arial"/>
                <w:b/>
                <w:bCs/>
                <w:color w:val="555555"/>
                <w:sz w:val="20"/>
                <w:szCs w:val="20"/>
              </w:rPr>
              <w:t xml:space="preserve">TIPO I  ·  Cambio de fecha de turno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Origen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Paciente tiene turno confirmado y quiere cambiarlo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Diferencia con cancelación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Es una modificación del turno existente, no cancelar + turno nuevo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Acción en panel</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Muestra turno actual, selector de nueva fecha, libera slot anterior al confirmar</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Turno reprogramado — mensaje con nueva fecha y instrucciones</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4.10 Cancelación</w:t>
      </w:r>
    </w:p>
    <w:tbl>
      <w:tblPr>
        <w:tblW w:type="dxa" w:w="9360"/>
        <w:tblBorders>
          <w:top w:val="single" w:color="8B1A1A"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FDEAEA" w:val="clear"/>
            <w:tcMar>
              <w:top w:type="dxa" w:w="80"/>
              <w:left w:type="dxa" w:w="160"/>
              <w:bottom w:type="dxa" w:w="80"/>
              <w:right w:type="dxa" w:w="120"/>
            </w:tcMar>
          </w:tcPr>
          <w:p>
            <w:r>
              <w:rPr>
                <w:rFonts w:ascii="Arial" w:cs="Arial" w:eastAsia="Arial" w:hAnsi="Arial"/>
                <w:b/>
                <w:bCs/>
                <w:color w:val="8B1A1A"/>
                <w:sz w:val="20"/>
                <w:szCs w:val="20"/>
              </w:rPr>
              <w:t xml:space="preserve">TIPO J  ·  Cancelación de turno</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Resolución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Casi automática — el paciente provee nombre, DNI, estudio, fecha y hora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Acción</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El panel libera el slot y envía confirmación de cancelación</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Nota</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El paciente puede indicar que pedirá nuevo turno — se puede ofrecer reprogramar en el mismo mensaje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Turno cancelado</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4.11 Casos especiales</w:t>
      </w:r>
    </w:p>
    <w:tbl>
      <w:tblPr>
        <w:tblW w:type="dxa" w:w="9360"/>
        <w:tblBorders>
          <w:top w:val="single" w:color="8B1A1A" w:sz="12"/>
          <w:left w:val="single" w:color="DDDDDD" w:sz="4"/>
          <w:bottom w:val="single" w:color="DDDDDD" w:sz="4"/>
          <w:right w:val="single" w:color="DDDDDD" w:sz="4"/>
          <w:insideH w:val="single" w:color="auto" w:sz="4"/>
          <w:insideV w:val="single" w:color="auto" w:sz="4"/>
        </w:tblBorders>
      </w:tblPr>
      <w:tblGrid>
        <w:gridCol w:w="2400"/>
        <w:gridCol w:w="6960"/>
      </w:tblGrid>
      <w:tr>
        <w:tc>
          <w:tcPr>
            <w:tcW w:type="dxa" w:w="9360"/>
            <w:gridSpan w:val="2"/>
            <w:tcBorders>
              <w:top w:val="none" w:color="FFFFFF" w:sz="0"/>
              <w:left w:val="none" w:color="FFFFFF" w:sz="0"/>
              <w:bottom w:val="none" w:color="FFFFFF" w:sz="0"/>
              <w:right w:val="none" w:color="FFFFFF" w:sz="0"/>
            </w:tcBorders>
            <w:shd w:fill="FDEAEA" w:val="clear"/>
            <w:tcMar>
              <w:top w:type="dxa" w:w="80"/>
              <w:left w:type="dxa" w:w="160"/>
              <w:bottom w:type="dxa" w:w="80"/>
              <w:right w:type="dxa" w:w="120"/>
            </w:tcMar>
          </w:tcPr>
          <w:p>
            <w:r>
              <w:rPr>
                <w:rFonts w:ascii="Arial" w:cs="Arial" w:eastAsia="Arial" w:hAnsi="Arial"/>
                <w:b/>
                <w:bCs/>
                <w:color w:val="8B1A1A"/>
                <w:sz w:val="20"/>
                <w:szCs w:val="20"/>
              </w:rPr>
              <w:t xml:space="preserve">TIPO K  ·  Contacto equivocado / práctica no disponible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Contacto equivocado</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El paciente quiere contactar a otro centro (Innova, etc.)</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Práctica no disponible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Resonancia magnética, histerosalpingografía, electromiografía, polisomnografía, endoscopía, colonoscopía</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Detección IA</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La práctica o el nombre del centro no coincide con el catálogo de Lavalle 11</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Flag automático</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Posible contacto equivocado o Práctica no disponible — el asesor confirma en un toque</w:t>
            </w:r>
          </w:p>
        </w:tc>
      </w:tr>
      <w:tr>
        <w:tc>
          <w:tcPr>
            <w:tcW w:type="dxa" w:w="24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555555"/>
                <w:sz w:val="18"/>
                <w:szCs w:val="18"/>
              </w:rPr>
              <w:t xml:space="preserve">Cierre</w:t>
            </w:r>
          </w:p>
        </w:tc>
        <w:tc>
          <w:tcPr>
            <w:tcW w:type="dxa" w:w="6960"/>
            <w:tcBorders>
              <w:top w:val="single" w:color="DDDDDD" w:sz="4"/>
              <w:left w:val="single" w:color="DDDDDD" w:sz="4"/>
              <w:bottom w:val="single" w:color="DDDDDD" w:sz="4"/>
              <w:right w:val="single" w:color="DDDDDD" w:sz="4"/>
            </w:tcBorders>
            <w:tcMar>
              <w:top w:type="dxa" w:w="60"/>
              <w:left w:type="dxa" w:w="120"/>
              <w:bottom w:type="dxa" w:w="60"/>
              <w:right w:type="dxa" w:w="80"/>
            </w:tcMar>
          </w:tcPr>
          <w:p>
            <w:r>
              <w:rPr>
                <w:rFonts w:ascii="Arial" w:cs="Arial" w:eastAsia="Arial" w:hAnsi="Arial"/>
                <w:color w:val="1A1A1A"/>
                <w:sz w:val="18"/>
                <w:szCs w:val="18"/>
              </w:rPr>
              <w:t xml:space="preserve">Equivocado o Práctica no disponible — mensaje informativo al paciente</w:t>
            </w:r>
          </w:p>
        </w:tc>
      </w:tr>
    </w:tbl>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5. Flujo general del sistema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16"/>
              <w:bottom w:val="none" w:color="FFFFFF" w:sz="0"/>
              <w:right w:val="none" w:color="FFFFFF" w:sz="0"/>
            </w:tcBorders>
            <w:shd w:fill="EEF4FB" w:val="clear"/>
            <w:tcMar>
              <w:top w:type="dxa" w:w="120"/>
              <w:left w:type="dxa" w:w="200"/>
              <w:bottom w:type="dxa" w:w="120"/>
              <w:right w:type="dxa" w:w="160"/>
            </w:tcMar>
          </w:tcPr>
          <w:p>
            <w:r>
              <w:rPr>
                <w:rFonts w:ascii="Arial" w:cs="Arial" w:eastAsia="Arial" w:hAnsi="Arial"/>
                <w:i/>
                <w:iCs/>
                <w:color w:val="1A1A1A"/>
                <w:sz w:val="19"/>
                <w:szCs w:val="19"/>
              </w:rPr>
              <w:t xml:space="preserve">El flujo describe cómo un mensaje de WhatsApp se convierte en una card en el panel y cómo esa card se resuelve y vuelve a WhatsApp.</w:t>
            </w:r>
          </w:p>
        </w:tc>
      </w:tr>
    </w:tbl>
    <w:p>
      <w:pPr>
        <w:spacing w:after="0" w:before="120"/>
      </w:pPr>
      <w:r>
        <w:t xml:space="preserve"/>
      </w:r>
    </w:p>
    <w:p>
      <w:pPr>
        <w:spacing w:after="80" w:before="200"/>
      </w:pPr>
      <w:r>
        <w:rPr>
          <w:rFonts w:ascii="Arial" w:cs="Arial" w:eastAsia="Arial" w:hAnsi="Arial"/>
          <w:b/>
          <w:bCs/>
          <w:color w:val="1A1A1A"/>
          <w:sz w:val="21"/>
          <w:szCs w:val="21"/>
        </w:rPr>
        <w:t xml:space="preserve">Paso 1 — Entrada del mensaje</w:t>
      </w:r>
    </w:p>
    <w:p>
      <w:pPr>
        <w:spacing w:after="60" w:before="60"/>
      </w:pPr>
      <w:r>
        <w:rPr>
          <w:rFonts w:ascii="Arial" w:cs="Arial" w:eastAsia="Arial" w:hAnsi="Arial"/>
          <w:color w:val="1A1A1A"/>
          <w:sz w:val="20"/>
          <w:szCs w:val="20"/>
        </w:rPr>
        <w:t xml:space="preserve">El paciente escribe a WhatsApp. Callbell recibe el mensaje y dispara un webhook HTTP POST a la URL del backend del sistema. El payload incluye: texto del mensaje, adjuntos (imágenes/PDFs), datos del contacto (nombre guardado, número de teléfono), y metadatos de la conversación (UUID, canal, estado del bot).</w:t>
      </w:r>
    </w:p>
    <w:p>
      <w:pPr>
        <w:spacing w:after="0" w:before="80"/>
      </w:pPr>
      <w:r>
        <w:t xml:space="preserve"/>
      </w:r>
    </w:p>
    <w:p>
      <w:pPr>
        <w:spacing w:after="80" w:before="200"/>
      </w:pPr>
      <w:r>
        <w:rPr>
          <w:rFonts w:ascii="Arial" w:cs="Arial" w:eastAsia="Arial" w:hAnsi="Arial"/>
          <w:b/>
          <w:bCs/>
          <w:color w:val="1A1A1A"/>
          <w:sz w:val="21"/>
          <w:szCs w:val="21"/>
        </w:rPr>
        <w:t xml:space="preserve">Paso 2 — Análisis con IA</w:t>
      </w:r>
    </w:p>
    <w:p>
      <w:pPr>
        <w:spacing w:after="60" w:before="60"/>
      </w:pPr>
      <w:r>
        <w:rPr>
          <w:rFonts w:ascii="Arial" w:cs="Arial" w:eastAsia="Arial" w:hAnsi="Arial"/>
          <w:color w:val="1A1A1A"/>
          <w:sz w:val="20"/>
          <w:szCs w:val="20"/>
        </w:rPr>
        <w:t xml:space="preserve">El backend envía el contenido al Claude API (Anthropic). El prompt incluye el historial de la conversación, los adjuntos, y el contexto del sistema (catálogo de prácticas, reglas de negocio, tabla de obras sociales desde Google Sheets). Claude devuelve un JSON estructurado con todos los campos extraídos y los flags correspondientes.</w:t>
      </w:r>
    </w:p>
    <w:p>
      <w:pPr>
        <w:spacing w:after="0" w:before="80"/>
      </w:pPr>
      <w:r>
        <w:t xml:space="preserve"/>
      </w:r>
    </w:p>
    <w:p>
      <w:pPr>
        <w:spacing w:after="80" w:before="200"/>
      </w:pPr>
      <w:r>
        <w:rPr>
          <w:rFonts w:ascii="Arial" w:cs="Arial" w:eastAsia="Arial" w:hAnsi="Arial"/>
          <w:b/>
          <w:bCs/>
          <w:color w:val="1A1A1A"/>
          <w:sz w:val="21"/>
          <w:szCs w:val="21"/>
        </w:rPr>
        <w:t xml:space="preserve">Paso 3 — Creación de la card</w:t>
      </w:r>
    </w:p>
    <w:p>
      <w:pPr>
        <w:spacing w:after="60" w:before="60"/>
      </w:pPr>
      <w:r>
        <w:rPr>
          <w:rFonts w:ascii="Arial" w:cs="Arial" w:eastAsia="Arial" w:hAnsi="Arial"/>
          <w:color w:val="1A1A1A"/>
          <w:sz w:val="20"/>
          <w:szCs w:val="20"/>
        </w:rPr>
        <w:t xml:space="preserve">El backend crea un registro en la base de datos y emite un evento en tiempo real al panel web. La card aparece en la cola general con el tipo de caso, la prioridad, el resumen de la IA, y los flags activos. Si el caso es de resolución automática (Tipo B), el sistema ejecuta la respuesta directamente sin crear card para el asesor.</w:t>
      </w:r>
    </w:p>
    <w:p>
      <w:pPr>
        <w:spacing w:after="0" w:before="80"/>
      </w:pPr>
      <w:r>
        <w:t xml:space="preserve"/>
      </w:r>
    </w:p>
    <w:p>
      <w:pPr>
        <w:spacing w:after="80" w:before="200"/>
      </w:pPr>
      <w:r>
        <w:rPr>
          <w:rFonts w:ascii="Arial" w:cs="Arial" w:eastAsia="Arial" w:hAnsi="Arial"/>
          <w:b/>
          <w:bCs/>
          <w:color w:val="1A1A1A"/>
          <w:sz w:val="21"/>
          <w:szCs w:val="21"/>
        </w:rPr>
        <w:t xml:space="preserve">Paso 4 — Decisión del asesor</w:t>
      </w:r>
    </w:p>
    <w:p>
      <w:pPr>
        <w:spacing w:after="60" w:before="60"/>
      </w:pPr>
      <w:r>
        <w:rPr>
          <w:rFonts w:ascii="Arial" w:cs="Arial" w:eastAsia="Arial" w:hAnsi="Arial"/>
          <w:color w:val="1A1A1A"/>
          <w:sz w:val="20"/>
          <w:szCs w:val="20"/>
        </w:rPr>
        <w:t xml:space="preserve">El asesor abre la card. Ve el resumen procesado, los datos extraídos de la orden médica, los flags de obra social y preparación, y las acciones disponibles. Selecciona fecha y hora, confirma la cobertura, activa las instrucciones que aplican. El panel genera el mensaje completo en tiempo real.</w:t>
      </w:r>
    </w:p>
    <w:p>
      <w:pPr>
        <w:spacing w:after="0" w:before="80"/>
      </w:pPr>
      <w:r>
        <w:t xml:space="preserve"/>
      </w:r>
    </w:p>
    <w:p>
      <w:pPr>
        <w:spacing w:after="80" w:before="200"/>
      </w:pPr>
      <w:r>
        <w:rPr>
          <w:rFonts w:ascii="Arial" w:cs="Arial" w:eastAsia="Arial" w:hAnsi="Arial"/>
          <w:b/>
          <w:bCs/>
          <w:color w:val="1A1A1A"/>
          <w:sz w:val="21"/>
          <w:szCs w:val="21"/>
        </w:rPr>
        <w:t xml:space="preserve">Paso 5 — Ejecución y cierre</w:t>
      </w:r>
    </w:p>
    <w:p>
      <w:pPr>
        <w:spacing w:after="60" w:before="60"/>
      </w:pPr>
      <w:r>
        <w:rPr>
          <w:rFonts w:ascii="Arial" w:cs="Arial" w:eastAsia="Arial" w:hAnsi="Arial"/>
          <w:color w:val="1A1A1A"/>
          <w:sz w:val="20"/>
          <w:szCs w:val="20"/>
        </w:rPr>
        <w:t xml:space="preserve">El asesor confirma. El backend llama a la Callbell API (Messages API) para enviar el mensaje generado por Claude al número del paciente. El caso queda registrado con: ID único, asesor asignado, tipo de caso, closing reason, timestamp de resolución, y todos los campos extraídos. La conversación en Callbell se cierra automáticamente.</w:t>
      </w:r>
    </w:p>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6. El panel web</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6.1 Vista principal — cola de casos</w:t>
      </w:r>
    </w:p>
    <w:p>
      <w:pPr>
        <w:spacing w:after="60" w:before="60"/>
      </w:pPr>
      <w:r>
        <w:rPr>
          <w:rFonts w:ascii="Arial" w:cs="Arial" w:eastAsia="Arial" w:hAnsi="Arial"/>
          <w:color w:val="1A1A1A"/>
          <w:sz w:val="20"/>
          <w:szCs w:val="20"/>
        </w:rPr>
        <w:t xml:space="preserve">La vista principal muestra todas las cards activas organizadas en una grilla. Cada card tiene: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ID único del caso (ej. LV-0041)</w:t>
      </w:r>
    </w:p>
    <w:p>
      <w:pPr>
        <w:pStyle w:val="ListParagraph"/>
        <w:numPr>
          <w:ilvl w:val="0"/>
          <w:numId w:val="2"/>
        </w:numPr>
        <w:spacing w:after="40" w:before="40"/>
      </w:pPr>
      <w:r>
        <w:rPr>
          <w:rFonts w:ascii="Arial" w:cs="Arial" w:eastAsia="Arial" w:hAnsi="Arial"/>
          <w:b w:val="false"/>
          <w:bCs w:val="false"/>
          <w:color w:val="1A1A1A"/>
          <w:sz w:val="20"/>
          <w:szCs w:val="20"/>
        </w:rPr>
        <w:t xml:space="preserve">Nombre del paciente y práctica solicitada</w:t>
      </w:r>
    </w:p>
    <w:p>
      <w:pPr>
        <w:pStyle w:val="ListParagraph"/>
        <w:numPr>
          <w:ilvl w:val="0"/>
          <w:numId w:val="2"/>
        </w:numPr>
        <w:spacing w:after="40" w:before="40"/>
      </w:pPr>
      <w:r>
        <w:rPr>
          <w:rFonts w:ascii="Arial" w:cs="Arial" w:eastAsia="Arial" w:hAnsi="Arial"/>
          <w:b w:val="false"/>
          <w:bCs w:val="false"/>
          <w:color w:val="1A1A1A"/>
          <w:sz w:val="20"/>
          <w:szCs w:val="20"/>
        </w:rPr>
        <w:t xml:space="preserve">Obra social</w:t>
      </w:r>
    </w:p>
    <w:p>
      <w:pPr>
        <w:pStyle w:val="ListParagraph"/>
        <w:numPr>
          <w:ilvl w:val="0"/>
          <w:numId w:val="2"/>
        </w:numPr>
        <w:spacing w:after="40" w:before="40"/>
      </w:pPr>
      <w:r>
        <w:rPr>
          <w:rFonts w:ascii="Arial" w:cs="Arial" w:eastAsia="Arial" w:hAnsi="Arial"/>
          <w:b w:val="false"/>
          <w:bCs w:val="false"/>
          <w:color w:val="1A1A1A"/>
          <w:sz w:val="20"/>
          <w:szCs w:val="20"/>
        </w:rPr>
        <w:t xml:space="preserve">Tiempo desde que llegó el mensaje</w:t>
      </w:r>
    </w:p>
    <w:p>
      <w:pPr>
        <w:pStyle w:val="ListParagraph"/>
        <w:numPr>
          <w:ilvl w:val="0"/>
          <w:numId w:val="2"/>
        </w:numPr>
        <w:spacing w:after="40" w:before="40"/>
      </w:pPr>
      <w:r>
        <w:rPr>
          <w:rFonts w:ascii="Arial" w:cs="Arial" w:eastAsia="Arial" w:hAnsi="Arial"/>
          <w:b w:val="false"/>
          <w:bCs w:val="false"/>
          <w:color w:val="1A1A1A"/>
          <w:sz w:val="20"/>
          <w:szCs w:val="20"/>
        </w:rPr>
        <w:t xml:space="preserve">Resumen en una línea generado por la IA</w:t>
      </w:r>
    </w:p>
    <w:p>
      <w:pPr>
        <w:pStyle w:val="ListParagraph"/>
        <w:numPr>
          <w:ilvl w:val="0"/>
          <w:numId w:val="2"/>
        </w:numPr>
        <w:spacing w:after="40" w:before="40"/>
      </w:pPr>
      <w:r>
        <w:rPr>
          <w:rFonts w:ascii="Arial" w:cs="Arial" w:eastAsia="Arial" w:hAnsi="Arial"/>
          <w:b w:val="false"/>
          <w:bCs w:val="false"/>
          <w:color w:val="1A1A1A"/>
          <w:sz w:val="20"/>
          <w:szCs w:val="20"/>
        </w:rPr>
        <w:t xml:space="preserve">Tags de flags activos (copago, ayuno requerido, falta documentación, etc.)</w:t>
      </w:r>
    </w:p>
    <w:p>
      <w:pPr>
        <w:pStyle w:val="ListParagraph"/>
        <w:numPr>
          <w:ilvl w:val="0"/>
          <w:numId w:val="2"/>
        </w:numPr>
        <w:spacing w:after="40" w:before="40"/>
      </w:pPr>
      <w:r>
        <w:rPr>
          <w:rFonts w:ascii="Arial" w:cs="Arial" w:eastAsia="Arial" w:hAnsi="Arial"/>
          <w:b w:val="false"/>
          <w:bCs w:val="false"/>
          <w:color w:val="1A1A1A"/>
          <w:sz w:val="20"/>
          <w:szCs w:val="20"/>
        </w:rPr>
        <w:t xml:space="preserve">Indicador de prioridad: rojo (urgente / flag crítico), naranja (pendiente de verificación), verde (listo para asignar)</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6.2 Filtros y vistas</w:t>
      </w:r>
    </w:p>
    <w:p>
      <w:pPr>
        <w:pStyle w:val="ListParagraph"/>
        <w:numPr>
          <w:ilvl w:val="0"/>
          <w:numId w:val="2"/>
        </w:numPr>
        <w:spacing w:after="40" w:before="40"/>
      </w:pPr>
      <w:r>
        <w:rPr>
          <w:rFonts w:ascii="Arial" w:cs="Arial" w:eastAsia="Arial" w:hAnsi="Arial"/>
          <w:b w:val="false"/>
          <w:bCs w:val="false"/>
          <w:color w:val="1A1A1A"/>
          <w:sz w:val="20"/>
          <w:szCs w:val="20"/>
        </w:rPr>
        <w:t xml:space="preserve">Cola general — todos los casos activos</w:t>
      </w:r>
    </w:p>
    <w:p>
      <w:pPr>
        <w:pStyle w:val="ListParagraph"/>
        <w:numPr>
          <w:ilvl w:val="0"/>
          <w:numId w:val="2"/>
        </w:numPr>
        <w:spacing w:after="40" w:before="40"/>
      </w:pPr>
      <w:r>
        <w:rPr>
          <w:rFonts w:ascii="Arial" w:cs="Arial" w:eastAsia="Arial" w:hAnsi="Arial"/>
          <w:b w:val="false"/>
          <w:bCs w:val="false"/>
          <w:color w:val="1A1A1A"/>
          <w:sz w:val="20"/>
          <w:szCs w:val="20"/>
        </w:rPr>
        <w:t xml:space="preserve">Mi bandeja — casos asignados al asesor logueado</w:t>
      </w:r>
    </w:p>
    <w:p>
      <w:pPr>
        <w:pStyle w:val="ListParagraph"/>
        <w:numPr>
          <w:ilvl w:val="0"/>
          <w:numId w:val="2"/>
        </w:numPr>
        <w:spacing w:after="40" w:before="40"/>
      </w:pPr>
      <w:r>
        <w:rPr>
          <w:rFonts w:ascii="Arial" w:cs="Arial" w:eastAsia="Arial" w:hAnsi="Arial"/>
          <w:b w:val="false"/>
          <w:bCs w:val="false"/>
          <w:color w:val="1A1A1A"/>
          <w:sz w:val="20"/>
          <w:szCs w:val="20"/>
        </w:rPr>
        <w:t xml:space="preserve">Por tipo — filtro por los 11 tipos de caso</w:t>
      </w:r>
    </w:p>
    <w:p>
      <w:pPr>
        <w:pStyle w:val="ListParagraph"/>
        <w:numPr>
          <w:ilvl w:val="0"/>
          <w:numId w:val="2"/>
        </w:numPr>
        <w:spacing w:after="40" w:before="40"/>
      </w:pPr>
      <w:r>
        <w:rPr>
          <w:rFonts w:ascii="Arial" w:cs="Arial" w:eastAsia="Arial" w:hAnsi="Arial"/>
          <w:b w:val="false"/>
          <w:bCs w:val="false"/>
          <w:color w:val="1A1A1A"/>
          <w:sz w:val="20"/>
          <w:szCs w:val="20"/>
        </w:rPr>
        <w:t xml:space="preserve">Por estado — pendiente, en proceso, esperando respuesta</w:t>
      </w:r>
    </w:p>
    <w:p>
      <w:pPr>
        <w:pStyle w:val="ListParagraph"/>
        <w:numPr>
          <w:ilvl w:val="0"/>
          <w:numId w:val="2"/>
        </w:numPr>
        <w:spacing w:after="40" w:before="40"/>
      </w:pPr>
      <w:r>
        <w:rPr>
          <w:rFonts w:ascii="Arial" w:cs="Arial" w:eastAsia="Arial" w:hAnsi="Arial"/>
          <w:b w:val="false"/>
          <w:bCs w:val="false"/>
          <w:color w:val="1A1A1A"/>
          <w:sz w:val="20"/>
          <w:szCs w:val="20"/>
        </w:rPr>
        <w:t xml:space="preserve">Seguimientos pendientes — casos con fecha de seguimiento para hoy</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6.3 Vista de caso — modal de resolución</w:t>
      </w:r>
    </w:p>
    <w:p>
      <w:pPr>
        <w:spacing w:after="60" w:before="60"/>
      </w:pPr>
      <w:r>
        <w:rPr>
          <w:rFonts w:ascii="Arial" w:cs="Arial" w:eastAsia="Arial" w:hAnsi="Arial"/>
          <w:color w:val="1A1A1A"/>
          <w:sz w:val="20"/>
          <w:szCs w:val="20"/>
        </w:rPr>
        <w:t xml:space="preserve">Al abrir una card el asesor ve: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Resumen IA expandido con todos los campos extraídos</w:t>
      </w:r>
    </w:p>
    <w:p>
      <w:pPr>
        <w:pStyle w:val="ListParagraph"/>
        <w:numPr>
          <w:ilvl w:val="0"/>
          <w:numId w:val="2"/>
        </w:numPr>
        <w:spacing w:after="40" w:before="40"/>
      </w:pPr>
      <w:r>
        <w:rPr>
          <w:rFonts w:ascii="Arial" w:cs="Arial" w:eastAsia="Arial" w:hAnsi="Arial"/>
          <w:b w:val="false"/>
          <w:bCs w:val="false"/>
          <w:color w:val="1A1A1A"/>
          <w:sz w:val="20"/>
          <w:szCs w:val="20"/>
        </w:rPr>
        <w:t xml:space="preserve">Foto de la orden médica con botón de visualización (modal o panel lateral)</w:t>
      </w:r>
    </w:p>
    <w:p>
      <w:pPr>
        <w:pStyle w:val="ListParagraph"/>
        <w:numPr>
          <w:ilvl w:val="0"/>
          <w:numId w:val="2"/>
        </w:numPr>
        <w:spacing w:after="40" w:before="40"/>
      </w:pPr>
      <w:r>
        <w:rPr>
          <w:rFonts w:ascii="Arial" w:cs="Arial" w:eastAsia="Arial" w:hAnsi="Arial"/>
          <w:b w:val="false"/>
          <w:bCs w:val="false"/>
          <w:color w:val="1A1A1A"/>
          <w:sz w:val="20"/>
          <w:szCs w:val="20"/>
        </w:rPr>
        <w:t xml:space="preserve">Campos con baja confianza de extracción resaltados en amarillo</w:t>
      </w:r>
    </w:p>
    <w:p>
      <w:pPr>
        <w:pStyle w:val="ListParagraph"/>
        <w:numPr>
          <w:ilvl w:val="0"/>
          <w:numId w:val="2"/>
        </w:numPr>
        <w:spacing w:after="40" w:before="40"/>
      </w:pPr>
      <w:r>
        <w:rPr>
          <w:rFonts w:ascii="Arial" w:cs="Arial" w:eastAsia="Arial" w:hAnsi="Arial"/>
          <w:b w:val="false"/>
          <w:bCs w:val="false"/>
          <w:color w:val="1A1A1A"/>
          <w:sz w:val="20"/>
          <w:szCs w:val="20"/>
        </w:rPr>
        <w:t xml:space="preserve">Selector de sede (Lavalle 11 / Chiclana)</w:t>
      </w:r>
    </w:p>
    <w:p>
      <w:pPr>
        <w:pStyle w:val="ListParagraph"/>
        <w:numPr>
          <w:ilvl w:val="0"/>
          <w:numId w:val="2"/>
        </w:numPr>
        <w:spacing w:after="40" w:before="40"/>
      </w:pPr>
      <w:r>
        <w:rPr>
          <w:rFonts w:ascii="Arial" w:cs="Arial" w:eastAsia="Arial" w:hAnsi="Arial"/>
          <w:b w:val="false"/>
          <w:bCs w:val="false"/>
          <w:color w:val="1A1A1A"/>
          <w:sz w:val="20"/>
          <w:szCs w:val="20"/>
        </w:rPr>
        <w:t xml:space="preserve">Estado de cobertura de obra social (verificada / particular / pendiente)</w:t>
      </w:r>
    </w:p>
    <w:p>
      <w:pPr>
        <w:pStyle w:val="ListParagraph"/>
        <w:numPr>
          <w:ilvl w:val="0"/>
          <w:numId w:val="2"/>
        </w:numPr>
        <w:spacing w:after="40" w:before="40"/>
      </w:pPr>
      <w:r>
        <w:rPr>
          <w:rFonts w:ascii="Arial" w:cs="Arial" w:eastAsia="Arial" w:hAnsi="Arial"/>
          <w:b w:val="false"/>
          <w:bCs w:val="false"/>
          <w:color w:val="1A1A1A"/>
          <w:sz w:val="20"/>
          <w:szCs w:val="20"/>
        </w:rPr>
        <w:t xml:space="preserve">Selector de fecha y hora del turno</w:t>
      </w:r>
    </w:p>
    <w:p>
      <w:pPr>
        <w:pStyle w:val="ListParagraph"/>
        <w:numPr>
          <w:ilvl w:val="0"/>
          <w:numId w:val="2"/>
        </w:numPr>
        <w:spacing w:after="40" w:before="40"/>
      </w:pPr>
      <w:r>
        <w:rPr>
          <w:rFonts w:ascii="Arial" w:cs="Arial" w:eastAsia="Arial" w:hAnsi="Arial"/>
          <w:b w:val="false"/>
          <w:bCs w:val="false"/>
          <w:color w:val="1A1A1A"/>
          <w:sz w:val="20"/>
          <w:szCs w:val="20"/>
        </w:rPr>
        <w:t xml:space="preserve">Checkboxes de instrucciones de preparación (ayuno, AINES, traer orden, traer estudios previos, etc.)</w:t>
      </w:r>
    </w:p>
    <w:p>
      <w:pPr>
        <w:pStyle w:val="ListParagraph"/>
        <w:numPr>
          <w:ilvl w:val="0"/>
          <w:numId w:val="2"/>
        </w:numPr>
        <w:spacing w:after="40" w:before="40"/>
      </w:pPr>
      <w:r>
        <w:rPr>
          <w:rFonts w:ascii="Arial" w:cs="Arial" w:eastAsia="Arial" w:hAnsi="Arial"/>
          <w:b w:val="false"/>
          <w:bCs w:val="false"/>
          <w:color w:val="1A1A1A"/>
          <w:sz w:val="20"/>
          <w:szCs w:val="20"/>
        </w:rPr>
        <w:t xml:space="preserve">Vista previa del mensaje WhatsApp generado en tiempo real</w:t>
      </w:r>
    </w:p>
    <w:p>
      <w:pPr>
        <w:pStyle w:val="ListParagraph"/>
        <w:numPr>
          <w:ilvl w:val="0"/>
          <w:numId w:val="2"/>
        </w:numPr>
        <w:spacing w:after="40" w:before="40"/>
      </w:pPr>
      <w:r>
        <w:rPr>
          <w:rFonts w:ascii="Arial" w:cs="Arial" w:eastAsia="Arial" w:hAnsi="Arial"/>
          <w:b w:val="false"/>
          <w:bCs w:val="false"/>
          <w:color w:val="1A1A1A"/>
          <w:sz w:val="20"/>
          <w:szCs w:val="20"/>
        </w:rPr>
        <w:t xml:space="preserve">Botón de llamada WhatsApp Desktop (wa.me/ con número precargado)</w:t>
      </w:r>
    </w:p>
    <w:p>
      <w:pPr>
        <w:pStyle w:val="ListParagraph"/>
        <w:numPr>
          <w:ilvl w:val="0"/>
          <w:numId w:val="2"/>
        </w:numPr>
        <w:spacing w:after="40" w:before="40"/>
      </w:pPr>
      <w:r>
        <w:rPr>
          <w:rFonts w:ascii="Arial" w:cs="Arial" w:eastAsia="Arial" w:hAnsi="Arial"/>
          <w:b w:val="false"/>
          <w:bCs w:val="false"/>
          <w:color w:val="1A1A1A"/>
          <w:sz w:val="20"/>
          <w:szCs w:val="20"/>
        </w:rPr>
        <w:t xml:space="preserve">Campo de nota interna con opción de fecha de seguimiento</w:t>
      </w:r>
    </w:p>
    <w:p>
      <w:pPr>
        <w:pStyle w:val="ListParagraph"/>
        <w:numPr>
          <w:ilvl w:val="0"/>
          <w:numId w:val="2"/>
        </w:numPr>
        <w:spacing w:after="40" w:before="40"/>
      </w:pPr>
      <w:r>
        <w:rPr>
          <w:rFonts w:ascii="Arial" w:cs="Arial" w:eastAsia="Arial" w:hAnsi="Arial"/>
          <w:b w:val="false"/>
          <w:bCs w:val="false"/>
          <w:color w:val="1A1A1A"/>
          <w:sz w:val="20"/>
          <w:szCs w:val="20"/>
        </w:rPr>
        <w:t xml:space="preserve">Botón de envío — ejecuta la respuesta y cierra el caso</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6.4 Tablero de métricas</w:t>
      </w:r>
    </w:p>
    <w:p>
      <w:pPr>
        <w:spacing w:after="60" w:before="60"/>
      </w:pPr>
      <w:r>
        <w:rPr>
          <w:rFonts w:ascii="Arial" w:cs="Arial" w:eastAsia="Arial" w:hAnsi="Arial"/>
          <w:color w:val="1A1A1A"/>
          <w:sz w:val="20"/>
          <w:szCs w:val="20"/>
        </w:rPr>
        <w:t xml:space="preserve">Vista de administrador con indicadores operativos en tiempo real:</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Casos activos por tipo y por asesor</w:t>
      </w:r>
    </w:p>
    <w:p>
      <w:pPr>
        <w:pStyle w:val="ListParagraph"/>
        <w:numPr>
          <w:ilvl w:val="0"/>
          <w:numId w:val="2"/>
        </w:numPr>
        <w:spacing w:after="40" w:before="40"/>
      </w:pPr>
      <w:r>
        <w:rPr>
          <w:rFonts w:ascii="Arial" w:cs="Arial" w:eastAsia="Arial" w:hAnsi="Arial"/>
          <w:b w:val="false"/>
          <w:bCs w:val="false"/>
          <w:color w:val="1A1A1A"/>
          <w:sz w:val="20"/>
          <w:szCs w:val="20"/>
        </w:rPr>
        <w:t xml:space="preserve">Tiempo promedio de resolución por práctica</w:t>
      </w:r>
    </w:p>
    <w:p>
      <w:pPr>
        <w:pStyle w:val="ListParagraph"/>
        <w:numPr>
          <w:ilvl w:val="0"/>
          <w:numId w:val="2"/>
        </w:numPr>
        <w:spacing w:after="40" w:before="40"/>
      </w:pPr>
      <w:r>
        <w:rPr>
          <w:rFonts w:ascii="Arial" w:cs="Arial" w:eastAsia="Arial" w:hAnsi="Arial"/>
          <w:b w:val="false"/>
          <w:bCs w:val="false"/>
          <w:color w:val="1A1A1A"/>
          <w:sz w:val="20"/>
          <w:szCs w:val="20"/>
        </w:rPr>
        <w:t xml:space="preserve">Casos sin atender hace más de X horas (configurable)</w:t>
      </w:r>
    </w:p>
    <w:p>
      <w:pPr>
        <w:pStyle w:val="ListParagraph"/>
        <w:numPr>
          <w:ilvl w:val="0"/>
          <w:numId w:val="2"/>
        </w:numPr>
        <w:spacing w:after="40" w:before="40"/>
      </w:pPr>
      <w:r>
        <w:rPr>
          <w:rFonts w:ascii="Arial" w:cs="Arial" w:eastAsia="Arial" w:hAnsi="Arial"/>
          <w:b w:val="false"/>
          <w:bCs w:val="false"/>
          <w:color w:val="1A1A1A"/>
          <w:sz w:val="20"/>
          <w:szCs w:val="20"/>
        </w:rPr>
        <w:t xml:space="preserve">Volumen por día / semana con breakdown por closing reason</w:t>
      </w:r>
    </w:p>
    <w:p>
      <w:pPr>
        <w:pStyle w:val="ListParagraph"/>
        <w:numPr>
          <w:ilvl w:val="0"/>
          <w:numId w:val="2"/>
        </w:numPr>
        <w:spacing w:after="40" w:before="40"/>
      </w:pPr>
      <w:r>
        <w:rPr>
          <w:rFonts w:ascii="Arial" w:cs="Arial" w:eastAsia="Arial" w:hAnsi="Arial"/>
          <w:b w:val="false"/>
          <w:bCs w:val="false"/>
          <w:color w:val="1A1A1A"/>
          <w:sz w:val="20"/>
          <w:szCs w:val="20"/>
        </w:rPr>
        <w:t xml:space="preserve">Prácticas más consultadas</w:t>
      </w:r>
    </w:p>
    <w:p>
      <w:pPr>
        <w:pStyle w:val="ListParagraph"/>
        <w:numPr>
          <w:ilvl w:val="0"/>
          <w:numId w:val="2"/>
        </w:numPr>
        <w:spacing w:after="40" w:before="40"/>
      </w:pPr>
      <w:r>
        <w:rPr>
          <w:rFonts w:ascii="Arial" w:cs="Arial" w:eastAsia="Arial" w:hAnsi="Arial"/>
          <w:b w:val="false"/>
          <w:bCs w:val="false"/>
          <w:color w:val="1A1A1A"/>
          <w:sz w:val="20"/>
          <w:szCs w:val="20"/>
        </w:rPr>
        <w:t xml:space="preserve">Casos caídos o sin resolución</w:t>
      </w:r>
    </w:p>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7. Reglas de negocio</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7.1 Tabla de obras sociales (Google Sheets)</w:t>
      </w:r>
    </w:p>
    <w:p>
      <w:pPr>
        <w:spacing w:after="60" w:before="60"/>
      </w:pPr>
      <w:r>
        <w:rPr>
          <w:rFonts w:ascii="Arial" w:cs="Arial" w:eastAsia="Arial" w:hAnsi="Arial"/>
          <w:color w:val="1A1A1A"/>
          <w:sz w:val="20"/>
          <w:szCs w:val="20"/>
        </w:rPr>
        <w:t xml:space="preserve">El sistema consulta en tiempo real una Google Sheet mantenida por el equipo con las siguientes columnas: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Obra social (nombre)</w:t>
      </w:r>
    </w:p>
    <w:p>
      <w:pPr>
        <w:pStyle w:val="ListParagraph"/>
        <w:numPr>
          <w:ilvl w:val="0"/>
          <w:numId w:val="2"/>
        </w:numPr>
        <w:spacing w:after="40" w:before="40"/>
      </w:pPr>
      <w:r>
        <w:rPr>
          <w:rFonts w:ascii="Arial" w:cs="Arial" w:eastAsia="Arial" w:hAnsi="Arial"/>
          <w:b w:val="false"/>
          <w:bCs w:val="false"/>
          <w:color w:val="1A1A1A"/>
          <w:sz w:val="20"/>
          <w:szCs w:val="20"/>
        </w:rPr>
        <w:t xml:space="preserve">Requiere copago (sí/no)</w:t>
      </w:r>
    </w:p>
    <w:p>
      <w:pPr>
        <w:pStyle w:val="ListParagraph"/>
        <w:numPr>
          <w:ilvl w:val="0"/>
          <w:numId w:val="2"/>
        </w:numPr>
        <w:spacing w:after="40" w:before="40"/>
      </w:pPr>
      <w:r>
        <w:rPr>
          <w:rFonts w:ascii="Arial" w:cs="Arial" w:eastAsia="Arial" w:hAnsi="Arial"/>
          <w:b w:val="false"/>
          <w:bCs w:val="false"/>
          <w:color w:val="1A1A1A"/>
          <w:sz w:val="20"/>
          <w:szCs w:val="20"/>
        </w:rPr>
        <w:t xml:space="preserve">Monto estimado de copago</w:t>
      </w:r>
    </w:p>
    <w:p>
      <w:pPr>
        <w:pStyle w:val="ListParagraph"/>
        <w:numPr>
          <w:ilvl w:val="0"/>
          <w:numId w:val="2"/>
        </w:numPr>
        <w:spacing w:after="40" w:before="40"/>
      </w:pPr>
      <w:r>
        <w:rPr>
          <w:rFonts w:ascii="Arial" w:cs="Arial" w:eastAsia="Arial" w:hAnsi="Arial"/>
          <w:b w:val="false"/>
          <w:bCs w:val="false"/>
          <w:color w:val="1A1A1A"/>
          <w:sz w:val="20"/>
          <w:szCs w:val="20"/>
        </w:rPr>
        <w:t xml:space="preserve">Requiere llamada (sí/no)</w:t>
      </w:r>
    </w:p>
    <w:p>
      <w:pPr>
        <w:pStyle w:val="ListParagraph"/>
        <w:numPr>
          <w:ilvl w:val="0"/>
          <w:numId w:val="2"/>
        </w:numPr>
        <w:spacing w:after="40" w:before="40"/>
      </w:pPr>
      <w:r>
        <w:rPr>
          <w:rFonts w:ascii="Arial" w:cs="Arial" w:eastAsia="Arial" w:hAnsi="Arial"/>
          <w:b w:val="false"/>
          <w:bCs w:val="false"/>
          <w:color w:val="1A1A1A"/>
          <w:sz w:val="20"/>
          <w:szCs w:val="20"/>
        </w:rPr>
        <w:t xml:space="preserve">Requiere autorización previa (sí/no)</w:t>
      </w:r>
    </w:p>
    <w:p>
      <w:pPr>
        <w:pStyle w:val="ListParagraph"/>
        <w:numPr>
          <w:ilvl w:val="0"/>
          <w:numId w:val="2"/>
        </w:numPr>
        <w:spacing w:after="40" w:before="40"/>
      </w:pPr>
      <w:r>
        <w:rPr>
          <w:rFonts w:ascii="Arial" w:cs="Arial" w:eastAsia="Arial" w:hAnsi="Arial"/>
          <w:b w:val="false"/>
          <w:bCs w:val="false"/>
          <w:color w:val="1A1A1A"/>
          <w:sz w:val="20"/>
          <w:szCs w:val="20"/>
        </w:rPr>
        <w:t xml:space="preserve">Código FEMEBA disponible (sí/no)</w:t>
      </w:r>
    </w:p>
    <w:p>
      <w:pPr>
        <w:pStyle w:val="ListParagraph"/>
        <w:numPr>
          <w:ilvl w:val="0"/>
          <w:numId w:val="2"/>
        </w:numPr>
        <w:spacing w:after="40" w:before="40"/>
      </w:pPr>
      <w:r>
        <w:rPr>
          <w:rFonts w:ascii="Arial" w:cs="Arial" w:eastAsia="Arial" w:hAnsi="Arial"/>
          <w:b w:val="false"/>
          <w:bCs w:val="false"/>
          <w:color w:val="1A1A1A"/>
          <w:sz w:val="20"/>
          <w:szCs w:val="20"/>
        </w:rPr>
        <w:t xml:space="preserve">Notas adicionales</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7.2 Estudios sin turno previo</w:t>
      </w:r>
    </w:p>
    <w:p>
      <w:pPr>
        <w:spacing w:after="60" w:before="60"/>
      </w:pPr>
      <w:r>
        <w:rPr>
          <w:rFonts w:ascii="Arial" w:cs="Arial" w:eastAsia="Arial" w:hAnsi="Arial"/>
          <w:color w:val="1A1A1A"/>
          <w:sz w:val="20"/>
          <w:szCs w:val="20"/>
        </w:rPr>
        <w:t xml:space="preserve">Los siguientes estudios se resuelven automáticamente sin intervención del asesor:</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Radiografías (incluyendo espinografía y medición de MMII)</w:t>
      </w:r>
    </w:p>
    <w:p>
      <w:pPr>
        <w:pStyle w:val="ListParagraph"/>
        <w:numPr>
          <w:ilvl w:val="0"/>
          <w:numId w:val="2"/>
        </w:numPr>
        <w:spacing w:after="40" w:before="40"/>
      </w:pPr>
      <w:r>
        <w:rPr>
          <w:rFonts w:ascii="Arial" w:cs="Arial" w:eastAsia="Arial" w:hAnsi="Arial"/>
          <w:b w:val="false"/>
          <w:bCs w:val="false"/>
          <w:color w:val="1A1A1A"/>
          <w:sz w:val="20"/>
          <w:szCs w:val="20"/>
        </w:rPr>
        <w:t xml:space="preserve">Panorámicas dentales</w:t>
      </w:r>
    </w:p>
    <w:p>
      <w:pPr>
        <w:pStyle w:val="ListParagraph"/>
        <w:numPr>
          <w:ilvl w:val="0"/>
          <w:numId w:val="2"/>
        </w:numPr>
        <w:spacing w:after="40" w:before="40"/>
      </w:pPr>
      <w:r>
        <w:rPr>
          <w:rFonts w:ascii="Arial" w:cs="Arial" w:eastAsia="Arial" w:hAnsi="Arial"/>
          <w:b w:val="false"/>
          <w:bCs w:val="false"/>
          <w:color w:val="1A1A1A"/>
          <w:sz w:val="20"/>
          <w:szCs w:val="20"/>
        </w:rPr>
        <w:t xml:space="preserve">TAC Cone Beam dental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6"/>
              <w:bottom w:val="none" w:color="FFFFFF" w:sz="0"/>
              <w:right w:val="none" w:color="FFFFFF" w:sz="0"/>
            </w:tcBorders>
            <w:shd w:fill="FAEEDA" w:val="clear"/>
            <w:tcMar>
              <w:top w:type="dxa" w:w="120"/>
              <w:left w:type="dxa" w:w="200"/>
              <w:bottom w:type="dxa" w:w="120"/>
              <w:right w:type="dxa" w:w="160"/>
            </w:tcMar>
          </w:tcPr>
          <w:p>
            <w:r>
              <w:rPr>
                <w:rFonts w:ascii="Arial" w:cs="Arial" w:eastAsia="Arial" w:hAnsi="Arial"/>
                <w:i/>
                <w:iCs/>
                <w:color w:val="1A1A1A"/>
                <w:sz w:val="19"/>
                <w:szCs w:val="19"/>
              </w:rPr>
              <w:t xml:space="preserve">Excepción: si la radiografía es panorámica y el paciente tiene obra social, puede requerir autorización previa. El sistema lo detecta y eleva a asesor.</w:t>
            </w:r>
          </w:p>
        </w:tc>
      </w:tr>
    </w:tbl>
    <w:p>
      <w:pPr>
        <w:spacing w:after="0" w:before="80"/>
      </w:pPr>
      <w:r>
        <w:t xml:space="preserve"/>
      </w:r>
    </w:p>
    <w:p>
      <w:pPr>
        <w:pStyle w:val="Heading2"/>
        <w:spacing w:after="120" w:before="280"/>
      </w:pPr>
      <w:r>
        <w:rPr>
          <w:rFonts w:ascii="Arial" w:cs="Arial" w:eastAsia="Arial" w:hAnsi="Arial"/>
          <w:b/>
          <w:bCs/>
          <w:color w:val="2C5F8A"/>
          <w:sz w:val="24"/>
          <w:szCs w:val="24"/>
        </w:rPr>
        <w:t xml:space="preserve">7.3 Derivación automática a Medicina Nuclear</w:t>
      </w:r>
    </w:p>
    <w:p>
      <w:pPr>
        <w:spacing w:after="60" w:before="60"/>
      </w:pPr>
      <w:r>
        <w:rPr>
          <w:rFonts w:ascii="Arial" w:cs="Arial" w:eastAsia="Arial" w:hAnsi="Arial"/>
          <w:color w:val="1A1A1A"/>
          <w:sz w:val="20"/>
          <w:szCs w:val="20"/>
        </w:rPr>
        <w:t xml:space="preserve">Si la práctica detectada corresponde a PET CT, SPECT CT, Centellograma, Perfusión Miocárdica, Gammagrafía o Cámara Gamma, el sistema crea la card con flag CHICLANA y activa el flujo de derivación.</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7.4 Prácticas no realizadas</w:t>
      </w:r>
    </w:p>
    <w:p>
      <w:pPr>
        <w:spacing w:after="60" w:before="60"/>
      </w:pPr>
      <w:r>
        <w:rPr>
          <w:rFonts w:ascii="Arial" w:cs="Arial" w:eastAsia="Arial" w:hAnsi="Arial"/>
          <w:color w:val="1A1A1A"/>
          <w:sz w:val="20"/>
          <w:szCs w:val="20"/>
        </w:rPr>
        <w:t xml:space="preserve">El sistema tiene una lista fija de prácticas que el instituto no realiza y que generan respuesta automática informativa:</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Resonancia magnética</w:t>
      </w:r>
    </w:p>
    <w:p>
      <w:pPr>
        <w:pStyle w:val="ListParagraph"/>
        <w:numPr>
          <w:ilvl w:val="0"/>
          <w:numId w:val="2"/>
        </w:numPr>
        <w:spacing w:after="40" w:before="40"/>
      </w:pPr>
      <w:r>
        <w:rPr>
          <w:rFonts w:ascii="Arial" w:cs="Arial" w:eastAsia="Arial" w:hAnsi="Arial"/>
          <w:b w:val="false"/>
          <w:bCs w:val="false"/>
          <w:color w:val="1A1A1A"/>
          <w:sz w:val="20"/>
          <w:szCs w:val="20"/>
        </w:rPr>
        <w:t xml:space="preserve">Histerosalpingografía</w:t>
      </w:r>
    </w:p>
    <w:p>
      <w:pPr>
        <w:pStyle w:val="ListParagraph"/>
        <w:numPr>
          <w:ilvl w:val="0"/>
          <w:numId w:val="2"/>
        </w:numPr>
        <w:spacing w:after="40" w:before="40"/>
      </w:pPr>
      <w:r>
        <w:rPr>
          <w:rFonts w:ascii="Arial" w:cs="Arial" w:eastAsia="Arial" w:hAnsi="Arial"/>
          <w:b w:val="false"/>
          <w:bCs w:val="false"/>
          <w:color w:val="1A1A1A"/>
          <w:sz w:val="20"/>
          <w:szCs w:val="20"/>
        </w:rPr>
        <w:t xml:space="preserve">Electromiografía</w:t>
      </w:r>
    </w:p>
    <w:p>
      <w:pPr>
        <w:pStyle w:val="ListParagraph"/>
        <w:numPr>
          <w:ilvl w:val="0"/>
          <w:numId w:val="2"/>
        </w:numPr>
        <w:spacing w:after="40" w:before="40"/>
      </w:pPr>
      <w:r>
        <w:rPr>
          <w:rFonts w:ascii="Arial" w:cs="Arial" w:eastAsia="Arial" w:hAnsi="Arial"/>
          <w:b w:val="false"/>
          <w:bCs w:val="false"/>
          <w:color w:val="1A1A1A"/>
          <w:sz w:val="20"/>
          <w:szCs w:val="20"/>
        </w:rPr>
        <w:t xml:space="preserve">Polisomnografía</w:t>
      </w:r>
    </w:p>
    <w:p>
      <w:pPr>
        <w:pStyle w:val="ListParagraph"/>
        <w:numPr>
          <w:ilvl w:val="0"/>
          <w:numId w:val="2"/>
        </w:numPr>
        <w:spacing w:after="40" w:before="40"/>
      </w:pPr>
      <w:r>
        <w:rPr>
          <w:rFonts w:ascii="Arial" w:cs="Arial" w:eastAsia="Arial" w:hAnsi="Arial"/>
          <w:b w:val="false"/>
          <w:bCs w:val="false"/>
          <w:color w:val="1A1A1A"/>
          <w:sz w:val="20"/>
          <w:szCs w:val="20"/>
        </w:rPr>
        <w:t xml:space="preserve">Endoscopía (alta y baja)</w:t>
      </w:r>
    </w:p>
    <w:p>
      <w:pPr>
        <w:pStyle w:val="ListParagraph"/>
        <w:numPr>
          <w:ilvl w:val="0"/>
          <w:numId w:val="2"/>
        </w:numPr>
        <w:spacing w:after="40" w:before="40"/>
      </w:pPr>
      <w:r>
        <w:rPr>
          <w:rFonts w:ascii="Arial" w:cs="Arial" w:eastAsia="Arial" w:hAnsi="Arial"/>
          <w:b w:val="false"/>
          <w:bCs w:val="false"/>
          <w:color w:val="1A1A1A"/>
          <w:sz w:val="20"/>
          <w:szCs w:val="20"/>
        </w:rPr>
        <w:t xml:space="preserve">Colonoscopía</w:t>
      </w:r>
    </w:p>
    <w:p>
      <w:pPr>
        <w:pStyle w:val="ListParagraph"/>
        <w:numPr>
          <w:ilvl w:val="0"/>
          <w:numId w:val="2"/>
        </w:numPr>
        <w:spacing w:after="40" w:before="40"/>
      </w:pPr>
      <w:r>
        <w:rPr>
          <w:rFonts w:ascii="Arial" w:cs="Arial" w:eastAsia="Arial" w:hAnsi="Arial"/>
          <w:b w:val="false"/>
          <w:bCs w:val="false"/>
          <w:color w:val="1A1A1A"/>
          <w:sz w:val="20"/>
          <w:szCs w:val="20"/>
        </w:rPr>
        <w:t xml:space="preserve">Tomografía de senos paranasales (solo realizan CBCT dental)</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7.5 Radiografías sin informe escrito</w:t>
      </w:r>
    </w:p>
    <w:p>
      <w:pPr>
        <w:spacing w:after="60" w:before="60"/>
      </w:pPr>
      <w:r>
        <w:rPr>
          <w:rFonts w:ascii="Arial" w:cs="Arial" w:eastAsia="Arial" w:hAnsi="Arial"/>
          <w:color w:val="1A1A1A"/>
          <w:sz w:val="20"/>
          <w:szCs w:val="20"/>
        </w:rPr>
        <w:t xml:space="preserve">Las radiografías solicitadas por médicos traumatólogos no generan informe escrito. Cuando un paciente consulta por el informe de una RX, el sistema detecta el médico derivante y aplica esta regla automáticamente.</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7.6 Token IOMA</w:t>
      </w:r>
    </w:p>
    <w:p>
      <w:pPr>
        <w:spacing w:after="60" w:before="60"/>
      </w:pPr>
      <w:r>
        <w:rPr>
          <w:rFonts w:ascii="Arial" w:cs="Arial" w:eastAsia="Arial" w:hAnsi="Arial"/>
          <w:color w:val="1A1A1A"/>
          <w:sz w:val="20"/>
          <w:szCs w:val="20"/>
        </w:rPr>
        <w:t xml:space="preserve">Los pacientes de IOMA deben concurrir con el número de TOKEN de la aplicación móvil de IOMA. Sin ese número no se puede realizar la práctica. Esta advertencia se incluye automáticamente en el mensaje de confirmación cuando la obra social es IOMA.</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7.7 Reconocimiento de contactos recurrentes</w:t>
      </w:r>
    </w:p>
    <w:p>
      <w:pPr>
        <w:spacing w:after="60" w:before="60"/>
      </w:pPr>
      <w:r>
        <w:rPr>
          <w:rFonts w:ascii="Arial" w:cs="Arial" w:eastAsia="Arial" w:hAnsi="Arial"/>
          <w:color w:val="1A1A1A"/>
          <w:sz w:val="20"/>
          <w:szCs w:val="20"/>
        </w:rPr>
        <w:t xml:space="preserve">El sistema busca el número de teléfono en el historial de casos. Si existe actividad previa, la card muestra un indicador de contacto recurrente con acceso al historial. El asesor puede ver casos anteriores, obras sociales usadas, y prácticas realizadas.</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7.8 Tabla de precios</w:t>
      </w:r>
    </w:p>
    <w:p>
      <w:pPr>
        <w:spacing w:after="60" w:before="60"/>
      </w:pPr>
      <w:r>
        <w:rPr>
          <w:rFonts w:ascii="Arial" w:cs="Arial" w:eastAsia="Arial" w:hAnsi="Arial"/>
          <w:color w:val="1A1A1A"/>
          <w:sz w:val="20"/>
          <w:szCs w:val="20"/>
        </w:rPr>
        <w:t xml:space="preserve">Los precios de los estudios se mantienen en la misma Google Sheet de obras sociales, con dos columnas: precio por transferencia y precio en efectivo. El sistema los consulta cuando detecta una consulta de precio y genera la respuesta automáticamente. La tabla incluye una advertencia de vigencia mensual.</w:t>
      </w:r>
    </w:p>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8. Closing reasons</w:t>
      </w:r>
    </w:p>
    <w:p>
      <w:pPr>
        <w:spacing w:after="60" w:before="60"/>
      </w:pPr>
      <w:r>
        <w:rPr>
          <w:rFonts w:ascii="Arial" w:cs="Arial" w:eastAsia="Arial" w:hAnsi="Arial"/>
          <w:i/>
          <w:iCs/>
          <w:color w:val="555555"/>
          <w:sz w:val="20"/>
          <w:szCs w:val="20"/>
        </w:rPr>
        <w:t xml:space="preserve">Clasificación emergida del análisis de conversaciones reales. Cada closing reason determina qué acciones ejecuta el sistema al cerrar un caso.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Closing Reason</w:t>
            </w:r>
          </w:p>
        </w:tc>
        <w:tc>
          <w:tcPr>
            <w:tcW w:type="dxa" w:w="40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Descripción</w:t>
            </w:r>
          </w:p>
        </w:tc>
        <w:tc>
          <w:tcPr>
            <w:tcW w:type="dxa" w:w="236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Acción en el panel</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2C5F8A"/>
                <w:sz w:val="18"/>
                <w:szCs w:val="18"/>
              </w:rPr>
              <w:t xml:space="preserve">Turno asignado</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El asesor confirmó fecha, hora y sede. Se envió el mensaje estándar de confirmación.</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Libera card, envía mensaje, registra en historial</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2C5F8A"/>
                <w:sz w:val="18"/>
                <w:szCs w:val="18"/>
              </w:rPr>
              <w:t xml:space="preserve">Turno reprogramado</w:t>
            </w:r>
          </w:p>
        </w:tc>
        <w:tc>
          <w:tcPr>
            <w:tcW w:type="dxa" w:w="4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Se modificó la fecha/hora de un turno existente.</w:t>
            </w:r>
          </w:p>
        </w:tc>
        <w:tc>
          <w:tcPr>
            <w:tcW w:type="dxa" w:w="2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Actualiza registro, libera slot anterior, envía confirmación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2C5F8A"/>
                <w:sz w:val="18"/>
                <w:szCs w:val="18"/>
              </w:rPr>
              <w:t xml:space="preserve">Turno cancelado</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El paciente canceló su turno.</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Libera slot, envía confirmación, mantiene historial del contacto</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2C5F8A"/>
                <w:sz w:val="18"/>
                <w:szCs w:val="18"/>
              </w:rPr>
              <w:t xml:space="preserve">Consulta resuelta</w:t>
            </w:r>
          </w:p>
        </w:tc>
        <w:tc>
          <w:tcPr>
            <w:tcW w:type="dxa" w:w="4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Consulta general respondida por el asesor.</w:t>
            </w:r>
          </w:p>
        </w:tc>
        <w:tc>
          <w:tcPr>
            <w:tcW w:type="dxa" w:w="2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Cierra conversación en Callbell</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2C5F8A"/>
                <w:sz w:val="18"/>
                <w:szCs w:val="18"/>
              </w:rPr>
              <w:t xml:space="preserve">Consulta resuelta Portal Web</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El paciente accedió exitosamente al portal de resultados.</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Cierra conversación en Callbell</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2C5F8A"/>
                <w:sz w:val="18"/>
                <w:szCs w:val="18"/>
              </w:rPr>
              <w:t xml:space="preserve">Esperando respuesta</w:t>
            </w:r>
          </w:p>
        </w:tc>
        <w:tc>
          <w:tcPr>
            <w:tcW w:type="dxa" w:w="4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El asesor respondió pero aguarda decisión del paciente.</w:t>
            </w:r>
          </w:p>
        </w:tc>
        <w:tc>
          <w:tcPr>
            <w:tcW w:type="dxa" w:w="2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Card queda en estado de espera visible — se reactiva si el paciente responde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2C5F8A"/>
                <w:sz w:val="18"/>
                <w:szCs w:val="18"/>
              </w:rPr>
              <w:t xml:space="preserve">Derivado a Chiclana</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Caso de Medicina Nuclear derivado a la sede Chiclana.</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Notifica a secretaría de Chiclana con datos del paciente y orden</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2C5F8A"/>
                <w:sz w:val="18"/>
                <w:szCs w:val="18"/>
              </w:rPr>
              <w:t xml:space="preserve">Práctica no disponible</w:t>
            </w:r>
          </w:p>
        </w:tc>
        <w:tc>
          <w:tcPr>
            <w:tcW w:type="dxa" w:w="4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El estudio solicitado no se realiza en el instituto.</w:t>
            </w:r>
          </w:p>
        </w:tc>
        <w:tc>
          <w:tcPr>
            <w:tcW w:type="dxa" w:w="2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Envía mensaje informativo con lista de lo que sí se realiza</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2C5F8A"/>
                <w:sz w:val="18"/>
                <w:szCs w:val="18"/>
              </w:rPr>
              <w:t xml:space="preserve">Equivocado</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El paciente quería contactar a otro centro o servicio.</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Envía mensaje aclaratorio con datos del instituto</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2C5F8A"/>
                <w:sz w:val="18"/>
                <w:szCs w:val="18"/>
              </w:rPr>
              <w:t xml:space="preserve">Error de datos en RIS</w:t>
            </w:r>
          </w:p>
        </w:tc>
        <w:tc>
          <w:tcPr>
            <w:tcW w:type="dxa" w:w="4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El DNI u otro dato fue cargado incorrectamente en IT SOS.</w:t>
            </w:r>
          </w:p>
        </w:tc>
        <w:tc>
          <w:tcPr>
            <w:tcW w:type="dxa" w:w="2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Registra corrección realizada, puede incluir nota interna</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2C5F8A"/>
                <w:sz w:val="18"/>
                <w:szCs w:val="18"/>
              </w:rPr>
              <w:t xml:space="preserve">Presupuesto pendiente</w:t>
            </w:r>
          </w:p>
        </w:tc>
        <w:tc>
          <w:tcPr>
            <w:tcW w:type="dxa" w:w="4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Se inició el proceso de presupuesto de punción/biopsia.</w:t>
            </w:r>
          </w:p>
        </w:tc>
        <w:tc>
          <w:tcPr>
            <w:tcW w:type="dxa" w:w="2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Card queda activa con fecha de seguimiento obligatoria</w:t>
            </w:r>
          </w:p>
        </w:tc>
      </w:tr>
      <w:tr>
        <w:tc>
          <w:tcPr>
            <w:tcW w:type="dxa" w:w="3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2C5F8A"/>
                <w:sz w:val="18"/>
                <w:szCs w:val="18"/>
              </w:rPr>
              <w:t xml:space="preserve">Sin resolución</w:t>
            </w:r>
          </w:p>
        </w:tc>
        <w:tc>
          <w:tcPr>
            <w:tcW w:type="dxa" w:w="4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El caso no pudo resolverse en el intercambio actual.</w:t>
            </w:r>
          </w:p>
        </w:tc>
        <w:tc>
          <w:tcPr>
            <w:tcW w:type="dxa" w:w="2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Requiere nota interna y fecha de seguimiento</w:t>
            </w:r>
          </w:p>
        </w:tc>
      </w:tr>
    </w:tbl>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9. Modelo de datos</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9.1 Caso (tabla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Campo</w:t>
            </w:r>
          </w:p>
        </w:tc>
        <w:tc>
          <w:tcPr>
            <w:tcW w:type="dxa" w:w="18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Tipo</w:t>
            </w:r>
          </w:p>
        </w:tc>
        <w:tc>
          <w:tcPr>
            <w:tcW w:type="dxa" w:w="536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Descripción / Origen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ID único del caso. Formato: LV-XXXX (autoincremental)</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callbell_uuid</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UUID de la conversación en Callbell — permite consultar historial vía API</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contact_phone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Número de teléfono del paciente — clave para detectar contactos recurrentes</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contact_name</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Nombre del contacto en Callbell</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tipo_caso</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enum</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A–K según clasificación del sistema (ver sección 4)</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estado</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enum</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pendiente / en_proceso / esperando_respuesta / cerrado</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prioridad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enum</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urgente / normal / bajo</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asesor_id</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FK → Usuario</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Asesor asignado</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created_at</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timestamp</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Momento en que llegó el primer mensaje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resolved_at</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timestamp</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Momento del cierre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closing_reason</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enum</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Ver sección 8</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seguimiento_fecha</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date</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Fecha de seguimiento programado (nullable)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seguimiento_nota</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text</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Nota interna del asesor (nullable)</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9.2 Extracción IA (por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Campo</w:t>
            </w:r>
          </w:p>
        </w:tc>
        <w:tc>
          <w:tcPr>
            <w:tcW w:type="dxa" w:w="18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Tipo</w:t>
            </w:r>
          </w:p>
        </w:tc>
        <w:tc>
          <w:tcPr>
            <w:tcW w:type="dxa" w:w="536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Descripción / Origen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caso_id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FK → Caso</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Caso al que pertenece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paciente_nombre</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Extraído de la conversación o la orden médica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paciente_dni</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Extraído de la conversación o la orden médica</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obra_social</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Nombre detectado por la IA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nro_afiliado</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Extraído de la orden médica (nullable)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nro_carnet</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Extraído de la orden médica (nullable)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practica</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Estudio solicitado (texto libre normalizado)</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tipo_practica</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enum</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Categoría del estudio según catálogo del instituto</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medico_derivante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Nombre del médico que firma la orden (nullable)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matricula</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MP/MN del médico derivante (nullable)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diagnostico</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Diagnóstico presuntivo de la orden (nullable)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motivo_solicitud</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Screening / búsqueda / control / otro (nullable)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requiere_copago</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boolean</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Consultado en Google Sheets según obra social</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requiere_llamada</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boolean</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Consultado en Google Sheets según obra social</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requiere_autorizacion</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boolean</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Consultado en Google Sheets según obra social</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flags</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Lista de flags activos: ayuno, AINES, orden_incompleta, baja_confianza, etc.</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confianza_global</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float</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Score de confianza de la extracción (0–1)</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orden_url</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URL de la imagen/PDF de la orden en Callbell (nullable)</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9.3 Turno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Campo</w:t>
            </w:r>
          </w:p>
        </w:tc>
        <w:tc>
          <w:tcPr>
            <w:tcW w:type="dxa" w:w="18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Tipo</w:t>
            </w:r>
          </w:p>
        </w:tc>
        <w:tc>
          <w:tcPr>
            <w:tcW w:type="dxa" w:w="536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Descripción / Origen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caso_id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FK → Caso</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Caso al que pertenece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sede</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enum</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lavalle11 / chiclana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fecha</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date</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Fecha del turno</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hora</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time</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Hora del turno</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estado</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enum</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confirmado / reprogramado / cancelado</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instrucciones</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Lista de instrucciones enviadas al paciente</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mensaje_enviado</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text</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Texto exacto del mensaje de confirmación enviado</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confirmado_at</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timestamp</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Momento de la confirmación</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9.4 Llamada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Campo</w:t>
            </w:r>
          </w:p>
        </w:tc>
        <w:tc>
          <w:tcPr>
            <w:tcW w:type="dxa" w:w="180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Tipo</w:t>
            </w:r>
          </w:p>
        </w:tc>
        <w:tc>
          <w:tcPr>
            <w:tcW w:type="dxa" w:w="5360"/>
            <w:tcBorders>
              <w:top w:val="single" w:color="DDDDDD" w:sz="4"/>
              <w:left w:val="single" w:color="DDDDDD" w:sz="4"/>
              <w:bottom w:val="single" w:color="DDDDDD" w:sz="4"/>
              <w:right w:val="single" w:color="DDDDDD" w:sz="4"/>
            </w:tcBorders>
            <w:shd w:fill="1B4F8A" w:val="clear"/>
            <w:tcMar>
              <w:top w:type="dxa" w:w="80"/>
              <w:left w:type="dxa" w:w="120"/>
              <w:bottom w:type="dxa" w:w="80"/>
              <w:right w:type="dxa" w:w="80"/>
            </w:tcMar>
          </w:tcPr>
          <w:p>
            <w:r>
              <w:rPr>
                <w:rFonts w:ascii="Arial" w:cs="Arial" w:eastAsia="Arial" w:hAnsi="Arial"/>
                <w:b/>
                <w:bCs/>
                <w:color w:val="FFFFFF"/>
                <w:sz w:val="19"/>
                <w:szCs w:val="19"/>
              </w:rPr>
              <w:t xml:space="preserve">Descripción / Origen</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caso_id</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FK → Caso</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Caso al que pertenece</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asesor_id</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FK → Usuario</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Asesor que realizó la llamada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phone</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string</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Número llamado</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canal</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enum</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whatsapp_desktop (único por ahora)</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b/>
                <w:bCs/>
                <w:color w:val="0F6E56"/>
                <w:sz w:val="18"/>
                <w:szCs w:val="18"/>
              </w:rPr>
              <w:t xml:space="preserve">initiated_at</w:t>
            </w:r>
          </w:p>
        </w:tc>
        <w:tc>
          <w:tcPr>
            <w:tcW w:type="dxa" w:w="18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i/>
                <w:iCs/>
                <w:color w:val="555555"/>
                <w:sz w:val="18"/>
                <w:szCs w:val="18"/>
              </w:rPr>
              <w:t xml:space="preserve">timestamp</w:t>
            </w:r>
          </w:p>
        </w:tc>
        <w:tc>
          <w:tcPr>
            <w:tcW w:type="dxa" w:w="5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80"/>
            </w:tcMar>
          </w:tcPr>
          <w:p>
            <w:r>
              <w:rPr>
                <w:rFonts w:ascii="Arial" w:cs="Arial" w:eastAsia="Arial" w:hAnsi="Arial"/>
                <w:color w:val="1A1A1A"/>
                <w:sz w:val="18"/>
                <w:szCs w:val="18"/>
              </w:rPr>
              <w:t xml:space="preserve">Momento de inicio de la llamada</w:t>
            </w:r>
          </w:p>
        </w:tc>
      </w:tr>
      <w:tr>
        <w:tc>
          <w:tcPr>
            <w:tcW w:type="dxa" w:w="22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b/>
                <w:bCs/>
                <w:color w:val="0F6E56"/>
                <w:sz w:val="18"/>
                <w:szCs w:val="18"/>
              </w:rPr>
              <w:t xml:space="preserve">duracion_min</w:t>
            </w:r>
          </w:p>
        </w:tc>
        <w:tc>
          <w:tcPr>
            <w:tcW w:type="dxa" w:w="18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i/>
                <w:iCs/>
                <w:color w:val="555555"/>
                <w:sz w:val="18"/>
                <w:szCs w:val="18"/>
              </w:rPr>
              <w:t xml:space="preserve">integer</w:t>
            </w:r>
          </w:p>
        </w:tc>
        <w:tc>
          <w:tcPr>
            <w:tcW w:type="dxa" w:w="53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80"/>
            </w:tcMar>
          </w:tcPr>
          <w:p>
            <w:r>
              <w:rPr>
                <w:rFonts w:ascii="Arial" w:cs="Arial" w:eastAsia="Arial" w:hAnsi="Arial"/>
                <w:color w:val="1A1A1A"/>
                <w:sz w:val="18"/>
                <w:szCs w:val="18"/>
              </w:rPr>
              <w:t xml:space="preserve">Duración estimada en minutos (ingresada por el asesor, nullable)</w:t>
            </w:r>
          </w:p>
        </w:tc>
      </w:tr>
    </w:tbl>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10. Arquitectura técnica</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10.1 Stack tecnológico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Frontend (panel web)</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React + Vite · Tailwind CSS · Vercel</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Backend (API + webhooks)</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Node.js · Vercel Serverless Functions</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Base de datos</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Supabase (PostgreSQL + REST API + Realtime)</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IA — análisis de chat e imágenes</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Claude API (Anthropic) · Modelo: claude-sonnet-4-20250514</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CRM de mensajería</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Callbell API (webhooks + Messages API)</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Tabla de coberturas y precios</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Google Sheets API</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Llamadas de voz</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WhatsApp Desktop via wa.me/ link (fuera del sistema)</w:t>
            </w:r>
          </w:p>
        </w:tc>
      </w:tr>
    </w:tbl>
    <w:p>
      <w:pPr>
        <w:spacing w:after="0" w:before="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80"/>
            </w:tcMar>
          </w:tcPr>
          <w:p>
            <w:r>
              <w:rPr>
                <w:rFonts w:ascii="Arial" w:cs="Arial" w:eastAsia="Arial" w:hAnsi="Arial"/>
                <w:b/>
                <w:bCs/>
                <w:color w:val="555555"/>
                <w:sz w:val="19"/>
                <w:szCs w:val="19"/>
              </w:rPr>
              <w:t xml:space="preserve">Autenticación</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80"/>
            </w:tcMar>
          </w:tcPr>
          <w:p>
            <w:r>
              <w:rPr>
                <w:rFonts w:ascii="Arial" w:cs="Arial" w:eastAsia="Arial" w:hAnsi="Arial"/>
                <w:color w:val="1A1A1A"/>
                <w:sz w:val="19"/>
                <w:szCs w:val="19"/>
              </w:rPr>
              <w:t xml:space="preserve">Supabase Auth (email + contraseña)</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10.2 Flujo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5F8A" w:sz="16"/>
              <w:bottom w:val="none" w:color="FFFFFF" w:sz="0"/>
              <w:right w:val="none" w:color="FFFFFF" w:sz="0"/>
            </w:tcBorders>
            <w:shd w:fill="EEF4FB" w:val="clear"/>
            <w:tcMar>
              <w:top w:type="dxa" w:w="120"/>
              <w:left w:type="dxa" w:w="200"/>
              <w:bottom w:type="dxa" w:w="120"/>
              <w:right w:type="dxa" w:w="160"/>
            </w:tcMar>
          </w:tcPr>
          <w:p>
            <w:r>
              <w:rPr>
                <w:rFonts w:ascii="Arial" w:cs="Arial" w:eastAsia="Arial" w:hAnsi="Arial"/>
                <w:i/>
                <w:iCs/>
                <w:color w:val="1A1A1A"/>
                <w:sz w:val="19"/>
                <w:szCs w:val="19"/>
              </w:rPr>
              <w:t xml:space="preserve">WhatsApp → Callbell → webhook → backend → Claude API → Supabase → panel web (realtime) → asesor decide → backend → Callbell API → WhatsApp</w:t>
            </w:r>
          </w:p>
        </w:tc>
      </w:tr>
    </w:tbl>
    <w:p>
      <w:pPr>
        <w:spacing w:after="0" w:before="120"/>
      </w:pPr>
      <w:r>
        <w:t xml:space="preserve"/>
      </w:r>
    </w:p>
    <w:p>
      <w:pPr>
        <w:pStyle w:val="Heading2"/>
        <w:spacing w:after="120" w:before="280"/>
      </w:pPr>
      <w:r>
        <w:rPr>
          <w:rFonts w:ascii="Arial" w:cs="Arial" w:eastAsia="Arial" w:hAnsi="Arial"/>
          <w:b/>
          <w:bCs/>
          <w:color w:val="2C5F8A"/>
          <w:sz w:val="24"/>
          <w:szCs w:val="24"/>
        </w:rPr>
        <w:t xml:space="preserve">10.3 Endpoint del webhook</w:t>
      </w:r>
    </w:p>
    <w:p>
      <w:pPr>
        <w:spacing w:after="60" w:before="60"/>
      </w:pPr>
      <w:r>
        <w:rPr>
          <w:rFonts w:ascii="Arial" w:cs="Arial" w:eastAsia="Arial" w:hAnsi="Arial"/>
          <w:color w:val="1A1A1A"/>
          <w:sz w:val="20"/>
          <w:szCs w:val="20"/>
        </w:rPr>
        <w:t xml:space="preserve">El backend expone un endpoint POST en Vercel: /api/callbell/webhook. Callbell llama a este endpoint cada vez que ocurre un evento suscrito (message_created, conversation_opened, conversation_closed). El endpoint valida la firma del webhook, procesa el payload, y dispara el análisis de IA si el evento es message_created con status received (mensaje entrante del paciente).</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10.4 Llamada a Claude API</w:t>
      </w:r>
    </w:p>
    <w:p>
      <w:pPr>
        <w:spacing w:after="60" w:before="60"/>
      </w:pPr>
      <w:r>
        <w:rPr>
          <w:rFonts w:ascii="Arial" w:cs="Arial" w:eastAsia="Arial" w:hAnsi="Arial"/>
          <w:color w:val="1A1A1A"/>
          <w:sz w:val="20"/>
          <w:szCs w:val="20"/>
        </w:rPr>
        <w:t xml:space="preserve">Por cada conversación nueva o actualizada, el backend construye un prompt que incluye: el historial completo de mensajes, los adjuntos como imágenes en base64 (si existen), el catálogo de prácticas del instituto, la tabla de obras sociales consultada en tiempo real desde Google Sheets, y las instrucciones de extracción estructurada en JSON. La respuesta se valida y se almacena en Supabase.</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10.5 Realtime en el panel</w:t>
      </w:r>
    </w:p>
    <w:p>
      <w:pPr>
        <w:spacing w:after="60" w:before="60"/>
      </w:pPr>
      <w:r>
        <w:rPr>
          <w:rFonts w:ascii="Arial" w:cs="Arial" w:eastAsia="Arial" w:hAnsi="Arial"/>
          <w:color w:val="1A1A1A"/>
          <w:sz w:val="20"/>
          <w:szCs w:val="20"/>
        </w:rPr>
        <w:t xml:space="preserve">El panel web usa Supabase Realtime para recibir actualizaciones instantáneas cuando llegan casos nuevos o se modifican existentes. No requiere polling — las cards aparecen y se actualizan automáticamente en todos los navegadores conectados.</w:t>
      </w:r>
    </w:p>
    <w:p>
      <w:pPr>
        <w:spacing w:after="0" w:before="80"/>
      </w:pPr>
      <w:r>
        <w:t xml:space="preserve"/>
      </w:r>
    </w:p>
    <w:p>
      <w:pPr>
        <w:pStyle w:val="Heading2"/>
        <w:spacing w:after="120" w:before="280"/>
      </w:pPr>
      <w:r>
        <w:rPr>
          <w:rFonts w:ascii="Arial" w:cs="Arial" w:eastAsia="Arial" w:hAnsi="Arial"/>
          <w:b/>
          <w:bCs/>
          <w:color w:val="2C5F8A"/>
          <w:sz w:val="24"/>
          <w:szCs w:val="24"/>
        </w:rPr>
        <w:t xml:space="preserve">10.6 Seguridad</w:t>
      </w:r>
    </w:p>
    <w:p>
      <w:pPr>
        <w:pStyle w:val="ListParagraph"/>
        <w:numPr>
          <w:ilvl w:val="0"/>
          <w:numId w:val="2"/>
        </w:numPr>
        <w:spacing w:after="40" w:before="40"/>
      </w:pPr>
      <w:r>
        <w:rPr>
          <w:rFonts w:ascii="Arial" w:cs="Arial" w:eastAsia="Arial" w:hAnsi="Arial"/>
          <w:b w:val="false"/>
          <w:bCs w:val="false"/>
          <w:color w:val="1A1A1A"/>
          <w:sz w:val="20"/>
          <w:szCs w:val="20"/>
        </w:rPr>
        <w:t xml:space="preserve">La API key de Anthropic nunca aparece en el frontend — solo en variables de entorno de Vercel</w:t>
      </w:r>
    </w:p>
    <w:p>
      <w:pPr>
        <w:pStyle w:val="ListParagraph"/>
        <w:numPr>
          <w:ilvl w:val="0"/>
          <w:numId w:val="2"/>
        </w:numPr>
        <w:spacing w:after="40" w:before="40"/>
      </w:pPr>
      <w:r>
        <w:rPr>
          <w:rFonts w:ascii="Arial" w:cs="Arial" w:eastAsia="Arial" w:hAnsi="Arial"/>
          <w:b w:val="false"/>
          <w:bCs w:val="false"/>
          <w:color w:val="1A1A1A"/>
          <w:sz w:val="20"/>
          <w:szCs w:val="20"/>
        </w:rPr>
        <w:t xml:space="preserve">La API key de Callbell ídem</w:t>
      </w:r>
    </w:p>
    <w:p>
      <w:pPr>
        <w:pStyle w:val="ListParagraph"/>
        <w:numPr>
          <w:ilvl w:val="0"/>
          <w:numId w:val="2"/>
        </w:numPr>
        <w:spacing w:after="40" w:before="40"/>
      </w:pPr>
      <w:r>
        <w:rPr>
          <w:rFonts w:ascii="Arial" w:cs="Arial" w:eastAsia="Arial" w:hAnsi="Arial"/>
          <w:b w:val="false"/>
          <w:bCs w:val="false"/>
          <w:color w:val="1A1A1A"/>
          <w:sz w:val="20"/>
          <w:szCs w:val="20"/>
        </w:rPr>
        <w:t xml:space="preserve">Supabase con RLS habilitado — cada asesor solo puede ver y modificar sus datos autorizados</w:t>
      </w:r>
    </w:p>
    <w:p>
      <w:pPr>
        <w:pStyle w:val="ListParagraph"/>
        <w:numPr>
          <w:ilvl w:val="0"/>
          <w:numId w:val="2"/>
        </w:numPr>
        <w:spacing w:after="40" w:before="40"/>
      </w:pPr>
      <w:r>
        <w:rPr>
          <w:rFonts w:ascii="Arial" w:cs="Arial" w:eastAsia="Arial" w:hAnsi="Arial"/>
          <w:b w:val="false"/>
          <w:bCs w:val="false"/>
          <w:color w:val="1A1A1A"/>
          <w:sz w:val="20"/>
          <w:szCs w:val="20"/>
        </w:rPr>
        <w:t xml:space="preserve">Los datos de pacientes no salen del sistema — no se envían a terceros más allá de Callbell (que ya los tiene) y Anthropic (bajo términos de privacidad)</w:t>
      </w:r>
    </w:p>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11. Plan de fases</w:t>
      </w:r>
    </w:p>
    <w:p>
      <w:pPr>
        <w:spacing w:after="0" w:before="80"/>
      </w:pPr>
      <w:r>
        <w:t xml:space="preserve"/>
      </w:r>
    </w:p>
    <w:p>
      <w:pPr>
        <w:spacing w:after="60" w:before="60"/>
      </w:pPr>
      <w:r>
        <w:rPr>
          <w:rFonts w:ascii="Arial" w:cs="Arial" w:eastAsia="Arial" w:hAnsi="Arial"/>
          <w:i/>
          <w:iCs/>
          <w:color w:val="555555"/>
          <w:sz w:val="20"/>
          <w:szCs w:val="20"/>
        </w:rPr>
        <w:t xml:space="preserve">Cada fase produce un entregable funcional que puede ser mostrado al cliente antes de continuar. El criterio de avance es: la fase anterior funciona correctamente en producción.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C5F8A" w:val="clear"/>
            <w:tcMar>
              <w:top w:type="dxa" w:w="120"/>
              <w:left w:type="dxa" w:w="120"/>
              <w:bottom w:type="dxa" w:w="120"/>
              <w:right w:type="dxa" w:w="80"/>
            </w:tcMar>
            <w:vAlign w:val="center"/>
          </w:tcPr>
          <w:p>
            <w:pPr>
              <w:jc w:val="center"/>
            </w:pPr>
            <w:r>
              <w:rPr>
                <w:rFonts w:ascii="Arial" w:cs="Arial" w:eastAsia="Arial" w:hAnsi="Arial"/>
                <w:color w:val="FFFFFF"/>
                <w:sz w:val="16"/>
                <w:szCs w:val="16"/>
              </w:rPr>
              <w:t xml:space="preserve">FASE</w:t>
            </w:r>
          </w:p>
          <w:p>
            <w:pPr>
              <w:jc w:val="center"/>
            </w:pPr>
            <w:r>
              <w:rPr>
                <w:rFonts w:ascii="Arial" w:cs="Arial" w:eastAsia="Arial" w:hAnsi="Arial"/>
                <w:b/>
                <w:bCs/>
                <w:color w:val="FFFFFF"/>
                <w:sz w:val="36"/>
                <w:szCs w:val="36"/>
              </w:rPr>
              <w:t xml:space="preserve">1</w:t>
            </w:r>
          </w:p>
        </w:tc>
        <w:tc>
          <w:tcPr>
            <w:tcW w:type="dxa" w:w="8360"/>
            <w:tcBorders>
              <w:top w:val="none" w:color="FFFFFF" w:sz="0"/>
              <w:left w:val="none" w:color="FFFFFF" w:sz="0"/>
              <w:bottom w:val="none" w:color="FFFFFF" w:sz="0"/>
              <w:right w:val="none" w:color="FFFFFF" w:sz="0"/>
            </w:tcBorders>
            <w:shd w:fill="F5F5F5" w:val="clear"/>
            <w:tcMar>
              <w:top w:type="dxa" w:w="120"/>
              <w:left w:type="dxa" w:w="200"/>
              <w:bottom w:type="dxa" w:w="120"/>
              <w:right w:type="dxa" w:w="120"/>
            </w:tcMar>
          </w:tcPr>
          <w:p>
            <w:pPr>
              <w:spacing w:after="60" w:before="0"/>
            </w:pPr>
            <w:r>
              <w:rPr>
                <w:rFonts w:ascii="Arial" w:cs="Arial" w:eastAsia="Arial" w:hAnsi="Arial"/>
                <w:b/>
                <w:bCs/>
                <w:color w:val="1A1A1A"/>
                <w:sz w:val="21"/>
                <w:szCs w:val="21"/>
              </w:rPr>
              <w:t xml:space="preserve">Panel estático — validación visual</w:t>
            </w:r>
          </w:p>
          <w:p>
            <w:pPr>
              <w:pStyle w:val="ListParagraph"/>
              <w:numPr>
                <w:ilvl w:val="0"/>
                <w:numId w:val="2"/>
              </w:numPr>
              <w:spacing w:after="30" w:before="30"/>
            </w:pPr>
            <w:r>
              <w:rPr>
                <w:rFonts w:ascii="Arial" w:cs="Arial" w:eastAsia="Arial" w:hAnsi="Arial"/>
                <w:color w:val="555555"/>
                <w:sz w:val="19"/>
                <w:szCs w:val="19"/>
              </w:rPr>
              <w:t xml:space="preserve">Panel web con cards de ejemplo (datos hardcodeados)</w:t>
            </w:r>
          </w:p>
          <w:p>
            <w:pPr>
              <w:pStyle w:val="ListParagraph"/>
              <w:numPr>
                <w:ilvl w:val="0"/>
                <w:numId w:val="2"/>
              </w:numPr>
              <w:spacing w:after="30" w:before="30"/>
            </w:pPr>
            <w:r>
              <w:rPr>
                <w:rFonts w:ascii="Arial" w:cs="Arial" w:eastAsia="Arial" w:hAnsi="Arial"/>
                <w:color w:val="555555"/>
                <w:sz w:val="19"/>
                <w:szCs w:val="19"/>
              </w:rPr>
              <w:t xml:space="preserve">Modal de resolución completo con todos los campos e interacciones</w:t>
            </w:r>
          </w:p>
          <w:p>
            <w:pPr>
              <w:pStyle w:val="ListParagraph"/>
              <w:numPr>
                <w:ilvl w:val="0"/>
                <w:numId w:val="2"/>
              </w:numPr>
              <w:spacing w:after="30" w:before="30"/>
            </w:pPr>
            <w:r>
              <w:rPr>
                <w:rFonts w:ascii="Arial" w:cs="Arial" w:eastAsia="Arial" w:hAnsi="Arial"/>
                <w:color w:val="555555"/>
                <w:sz w:val="19"/>
                <w:szCs w:val="19"/>
              </w:rPr>
              <w:t xml:space="preserve">Botón de llamada WhatsApp Desktop funcional</w:t>
            </w:r>
          </w:p>
          <w:p>
            <w:pPr>
              <w:pStyle w:val="ListParagraph"/>
              <w:numPr>
                <w:ilvl w:val="0"/>
                <w:numId w:val="2"/>
              </w:numPr>
              <w:spacing w:after="30" w:before="30"/>
            </w:pPr>
            <w:r>
              <w:rPr>
                <w:rFonts w:ascii="Arial" w:cs="Arial" w:eastAsia="Arial" w:hAnsi="Arial"/>
                <w:color w:val="555555"/>
                <w:sz w:val="19"/>
                <w:szCs w:val="19"/>
              </w:rPr>
              <w:t xml:space="preserve">Vista previa del mensaje generada en tiempo real</w:t>
            </w:r>
          </w:p>
          <w:p>
            <w:pPr>
              <w:pStyle w:val="ListParagraph"/>
              <w:numPr>
                <w:ilvl w:val="0"/>
                <w:numId w:val="2"/>
              </w:numPr>
              <w:spacing w:after="30" w:before="30"/>
            </w:pPr>
            <w:r>
              <w:rPr>
                <w:rFonts w:ascii="Arial" w:cs="Arial" w:eastAsia="Arial" w:hAnsi="Arial"/>
                <w:color w:val="555555"/>
                <w:sz w:val="19"/>
                <w:szCs w:val="19"/>
              </w:rPr>
              <w:t xml:space="preserve">Autenticación básica por asesor</w:t>
            </w:r>
          </w:p>
          <w:p>
            <w:pPr>
              <w:pStyle w:val="ListParagraph"/>
              <w:numPr>
                <w:ilvl w:val="0"/>
                <w:numId w:val="2"/>
              </w:numPr>
              <w:spacing w:after="30" w:before="30"/>
            </w:pPr>
            <w:r>
              <w:rPr>
                <w:rFonts w:ascii="Arial" w:cs="Arial" w:eastAsia="Arial" w:hAnsi="Arial"/>
                <w:color w:val="555555"/>
                <w:sz w:val="19"/>
                <w:szCs w:val="19"/>
              </w:rPr>
              <w:t xml:space="preserve">Objetivo: validar el diseño con Franco antes de conectar el backend</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F6E56" w:val="clear"/>
            <w:tcMar>
              <w:top w:type="dxa" w:w="120"/>
              <w:left w:type="dxa" w:w="120"/>
              <w:bottom w:type="dxa" w:w="120"/>
              <w:right w:type="dxa" w:w="80"/>
            </w:tcMar>
            <w:vAlign w:val="center"/>
          </w:tcPr>
          <w:p>
            <w:pPr>
              <w:jc w:val="center"/>
            </w:pPr>
            <w:r>
              <w:rPr>
                <w:rFonts w:ascii="Arial" w:cs="Arial" w:eastAsia="Arial" w:hAnsi="Arial"/>
                <w:color w:val="FFFFFF"/>
                <w:sz w:val="16"/>
                <w:szCs w:val="16"/>
              </w:rPr>
              <w:t xml:space="preserve">FASE</w:t>
            </w:r>
          </w:p>
          <w:p>
            <w:pPr>
              <w:jc w:val="center"/>
            </w:pPr>
            <w:r>
              <w:rPr>
                <w:rFonts w:ascii="Arial" w:cs="Arial" w:eastAsia="Arial" w:hAnsi="Arial"/>
                <w:b/>
                <w:bCs/>
                <w:color w:val="FFFFFF"/>
                <w:sz w:val="36"/>
                <w:szCs w:val="36"/>
              </w:rPr>
              <w:t xml:space="preserve">2</w:t>
            </w:r>
          </w:p>
        </w:tc>
        <w:tc>
          <w:tcPr>
            <w:tcW w:type="dxa" w:w="8360"/>
            <w:tcBorders>
              <w:top w:val="none" w:color="FFFFFF" w:sz="0"/>
              <w:left w:val="none" w:color="FFFFFF" w:sz="0"/>
              <w:bottom w:val="none" w:color="FFFFFF" w:sz="0"/>
              <w:right w:val="none" w:color="FFFFFF" w:sz="0"/>
            </w:tcBorders>
            <w:shd w:fill="F5F5F5" w:val="clear"/>
            <w:tcMar>
              <w:top w:type="dxa" w:w="120"/>
              <w:left w:type="dxa" w:w="200"/>
              <w:bottom w:type="dxa" w:w="120"/>
              <w:right w:type="dxa" w:w="120"/>
            </w:tcMar>
          </w:tcPr>
          <w:p>
            <w:pPr>
              <w:spacing w:after="60" w:before="0"/>
            </w:pPr>
            <w:r>
              <w:rPr>
                <w:rFonts w:ascii="Arial" w:cs="Arial" w:eastAsia="Arial" w:hAnsi="Arial"/>
                <w:b/>
                <w:bCs/>
                <w:color w:val="1A1A1A"/>
                <w:sz w:val="21"/>
                <w:szCs w:val="21"/>
              </w:rPr>
              <w:t xml:space="preserve">Backend y webhook de Callbell</w:t>
            </w:r>
          </w:p>
          <w:p>
            <w:pPr>
              <w:pStyle w:val="ListParagraph"/>
              <w:numPr>
                <w:ilvl w:val="0"/>
                <w:numId w:val="2"/>
              </w:numPr>
              <w:spacing w:after="30" w:before="30"/>
            </w:pPr>
            <w:r>
              <w:rPr>
                <w:rFonts w:ascii="Arial" w:cs="Arial" w:eastAsia="Arial" w:hAnsi="Arial"/>
                <w:color w:val="555555"/>
                <w:sz w:val="19"/>
                <w:szCs w:val="19"/>
              </w:rPr>
              <w:t xml:space="preserve">Endpoint /api/callbell/webhook operativo en Vercel</w:t>
            </w:r>
          </w:p>
          <w:p>
            <w:pPr>
              <w:pStyle w:val="ListParagraph"/>
              <w:numPr>
                <w:ilvl w:val="0"/>
                <w:numId w:val="2"/>
              </w:numPr>
              <w:spacing w:after="30" w:before="30"/>
            </w:pPr>
            <w:r>
              <w:rPr>
                <w:rFonts w:ascii="Arial" w:cs="Arial" w:eastAsia="Arial" w:hAnsi="Arial"/>
                <w:color w:val="555555"/>
                <w:sz w:val="19"/>
                <w:szCs w:val="19"/>
              </w:rPr>
              <w:t xml:space="preserve">Procesamiento de eventos message_created</w:t>
            </w:r>
          </w:p>
          <w:p>
            <w:pPr>
              <w:pStyle w:val="ListParagraph"/>
              <w:numPr>
                <w:ilvl w:val="0"/>
                <w:numId w:val="2"/>
              </w:numPr>
              <w:spacing w:after="30" w:before="30"/>
            </w:pPr>
            <w:r>
              <w:rPr>
                <w:rFonts w:ascii="Arial" w:cs="Arial" w:eastAsia="Arial" w:hAnsi="Arial"/>
                <w:color w:val="555555"/>
                <w:sz w:val="19"/>
                <w:szCs w:val="19"/>
              </w:rPr>
              <w:t xml:space="preserve">Creación de casos en Supabase</w:t>
            </w:r>
          </w:p>
          <w:p>
            <w:pPr>
              <w:pStyle w:val="ListParagraph"/>
              <w:numPr>
                <w:ilvl w:val="0"/>
                <w:numId w:val="2"/>
              </w:numPr>
              <w:spacing w:after="30" w:before="30"/>
            </w:pPr>
            <w:r>
              <w:rPr>
                <w:rFonts w:ascii="Arial" w:cs="Arial" w:eastAsia="Arial" w:hAnsi="Arial"/>
                <w:color w:val="555555"/>
                <w:sz w:val="19"/>
                <w:szCs w:val="19"/>
              </w:rPr>
              <w:t xml:space="preserve">Cards reales apareciendo en el panel via Realtime</w:t>
            </w:r>
          </w:p>
          <w:p>
            <w:pPr>
              <w:pStyle w:val="ListParagraph"/>
              <w:numPr>
                <w:ilvl w:val="0"/>
                <w:numId w:val="2"/>
              </w:numPr>
              <w:spacing w:after="30" w:before="30"/>
            </w:pPr>
            <w:r>
              <w:rPr>
                <w:rFonts w:ascii="Arial" w:cs="Arial" w:eastAsia="Arial" w:hAnsi="Arial"/>
                <w:color w:val="555555"/>
                <w:sz w:val="19"/>
                <w:szCs w:val="19"/>
              </w:rPr>
              <w:t xml:space="preserve">Sin análisis de IA todavía — solo datos crudos de Callbell</w:t>
            </w:r>
          </w:p>
          <w:p>
            <w:pPr>
              <w:pStyle w:val="ListParagraph"/>
              <w:numPr>
                <w:ilvl w:val="0"/>
                <w:numId w:val="2"/>
              </w:numPr>
              <w:spacing w:after="30" w:before="30"/>
            </w:pPr>
            <w:r>
              <w:rPr>
                <w:rFonts w:ascii="Arial" w:cs="Arial" w:eastAsia="Arial" w:hAnsi="Arial"/>
                <w:color w:val="555555"/>
                <w:sz w:val="19"/>
                <w:szCs w:val="19"/>
              </w:rPr>
              <w:t xml:space="preserve">Objetivo: el panel recibe casos reales de Callbell en tiempo real</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C5F8A" w:val="clear"/>
            <w:tcMar>
              <w:top w:type="dxa" w:w="120"/>
              <w:left w:type="dxa" w:w="120"/>
              <w:bottom w:type="dxa" w:w="120"/>
              <w:right w:type="dxa" w:w="80"/>
            </w:tcMar>
            <w:vAlign w:val="center"/>
          </w:tcPr>
          <w:p>
            <w:pPr>
              <w:jc w:val="center"/>
            </w:pPr>
            <w:r>
              <w:rPr>
                <w:rFonts w:ascii="Arial" w:cs="Arial" w:eastAsia="Arial" w:hAnsi="Arial"/>
                <w:color w:val="FFFFFF"/>
                <w:sz w:val="16"/>
                <w:szCs w:val="16"/>
              </w:rPr>
              <w:t xml:space="preserve">FASE</w:t>
            </w:r>
          </w:p>
          <w:p>
            <w:pPr>
              <w:jc w:val="center"/>
            </w:pPr>
            <w:r>
              <w:rPr>
                <w:rFonts w:ascii="Arial" w:cs="Arial" w:eastAsia="Arial" w:hAnsi="Arial"/>
                <w:b/>
                <w:bCs/>
                <w:color w:val="FFFFFF"/>
                <w:sz w:val="36"/>
                <w:szCs w:val="36"/>
              </w:rPr>
              <w:t xml:space="preserve">3</w:t>
            </w:r>
          </w:p>
        </w:tc>
        <w:tc>
          <w:tcPr>
            <w:tcW w:type="dxa" w:w="8360"/>
            <w:tcBorders>
              <w:top w:val="none" w:color="FFFFFF" w:sz="0"/>
              <w:left w:val="none" w:color="FFFFFF" w:sz="0"/>
              <w:bottom w:val="none" w:color="FFFFFF" w:sz="0"/>
              <w:right w:val="none" w:color="FFFFFF" w:sz="0"/>
            </w:tcBorders>
            <w:shd w:fill="F5F5F5" w:val="clear"/>
            <w:tcMar>
              <w:top w:type="dxa" w:w="120"/>
              <w:left w:type="dxa" w:w="200"/>
              <w:bottom w:type="dxa" w:w="120"/>
              <w:right w:type="dxa" w:w="120"/>
            </w:tcMar>
          </w:tcPr>
          <w:p>
            <w:pPr>
              <w:spacing w:after="60" w:before="0"/>
            </w:pPr>
            <w:r>
              <w:rPr>
                <w:rFonts w:ascii="Arial" w:cs="Arial" w:eastAsia="Arial" w:hAnsi="Arial"/>
                <w:b/>
                <w:bCs/>
                <w:color w:val="1A1A1A"/>
                <w:sz w:val="21"/>
                <w:szCs w:val="21"/>
              </w:rPr>
              <w:t xml:space="preserve">Análisis con Claude IA</w:t>
            </w:r>
          </w:p>
          <w:p>
            <w:pPr>
              <w:pStyle w:val="ListParagraph"/>
              <w:numPr>
                <w:ilvl w:val="0"/>
                <w:numId w:val="2"/>
              </w:numPr>
              <w:spacing w:after="30" w:before="30"/>
            </w:pPr>
            <w:r>
              <w:rPr>
                <w:rFonts w:ascii="Arial" w:cs="Arial" w:eastAsia="Arial" w:hAnsi="Arial"/>
                <w:color w:val="555555"/>
                <w:sz w:val="19"/>
                <w:szCs w:val="19"/>
              </w:rPr>
              <w:t xml:space="preserve">Integración con Claude API para análisis de texto e imágenes</w:t>
            </w:r>
          </w:p>
          <w:p>
            <w:pPr>
              <w:pStyle w:val="ListParagraph"/>
              <w:numPr>
                <w:ilvl w:val="0"/>
                <w:numId w:val="2"/>
              </w:numPr>
              <w:spacing w:after="30" w:before="30"/>
            </w:pPr>
            <w:r>
              <w:rPr>
                <w:rFonts w:ascii="Arial" w:cs="Arial" w:eastAsia="Arial" w:hAnsi="Arial"/>
                <w:color w:val="555555"/>
                <w:sz w:val="19"/>
                <w:szCs w:val="19"/>
              </w:rPr>
              <w:t xml:space="preserve">Extracción de campos estructurados de la conversación</w:t>
            </w:r>
          </w:p>
          <w:p>
            <w:pPr>
              <w:pStyle w:val="ListParagraph"/>
              <w:numPr>
                <w:ilvl w:val="0"/>
                <w:numId w:val="2"/>
              </w:numPr>
              <w:spacing w:after="30" w:before="30"/>
            </w:pPr>
            <w:r>
              <w:rPr>
                <w:rFonts w:ascii="Arial" w:cs="Arial" w:eastAsia="Arial" w:hAnsi="Arial"/>
                <w:color w:val="555555"/>
                <w:sz w:val="19"/>
                <w:szCs w:val="19"/>
              </w:rPr>
              <w:t xml:space="preserve">Lectura de órdenes médicas manuscritas (imágenes)</w:t>
            </w:r>
          </w:p>
          <w:p>
            <w:pPr>
              <w:pStyle w:val="ListParagraph"/>
              <w:numPr>
                <w:ilvl w:val="0"/>
                <w:numId w:val="2"/>
              </w:numPr>
              <w:spacing w:after="30" w:before="30"/>
            </w:pPr>
            <w:r>
              <w:rPr>
                <w:rFonts w:ascii="Arial" w:cs="Arial" w:eastAsia="Arial" w:hAnsi="Arial"/>
                <w:color w:val="555555"/>
                <w:sz w:val="19"/>
                <w:szCs w:val="19"/>
              </w:rPr>
              <w:t xml:space="preserve">Consulta de tabla de obras sociales en Google Sheets</w:t>
            </w:r>
          </w:p>
          <w:p>
            <w:pPr>
              <w:pStyle w:val="ListParagraph"/>
              <w:numPr>
                <w:ilvl w:val="0"/>
                <w:numId w:val="2"/>
              </w:numPr>
              <w:spacing w:after="30" w:before="30"/>
            </w:pPr>
            <w:r>
              <w:rPr>
                <w:rFonts w:ascii="Arial" w:cs="Arial" w:eastAsia="Arial" w:hAnsi="Arial"/>
                <w:color w:val="555555"/>
                <w:sz w:val="19"/>
                <w:szCs w:val="19"/>
              </w:rPr>
              <w:t xml:space="preserve">Flags automáticos: copago, baja confianza, falta documentación</w:t>
            </w:r>
          </w:p>
          <w:p>
            <w:pPr>
              <w:pStyle w:val="ListParagraph"/>
              <w:numPr>
                <w:ilvl w:val="0"/>
                <w:numId w:val="2"/>
              </w:numPr>
              <w:spacing w:after="30" w:before="30"/>
            </w:pPr>
            <w:r>
              <w:rPr>
                <w:rFonts w:ascii="Arial" w:cs="Arial" w:eastAsia="Arial" w:hAnsi="Arial"/>
                <w:color w:val="555555"/>
                <w:sz w:val="19"/>
                <w:szCs w:val="19"/>
              </w:rPr>
              <w:t xml:space="preserve">Objetivo: las cards aparecen con datos prellenados y resumen de IA</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0F6E56" w:val="clear"/>
            <w:tcMar>
              <w:top w:type="dxa" w:w="120"/>
              <w:left w:type="dxa" w:w="120"/>
              <w:bottom w:type="dxa" w:w="120"/>
              <w:right w:type="dxa" w:w="80"/>
            </w:tcMar>
            <w:vAlign w:val="center"/>
          </w:tcPr>
          <w:p>
            <w:pPr>
              <w:jc w:val="center"/>
            </w:pPr>
            <w:r>
              <w:rPr>
                <w:rFonts w:ascii="Arial" w:cs="Arial" w:eastAsia="Arial" w:hAnsi="Arial"/>
                <w:color w:val="FFFFFF"/>
                <w:sz w:val="16"/>
                <w:szCs w:val="16"/>
              </w:rPr>
              <w:t xml:space="preserve">FASE</w:t>
            </w:r>
          </w:p>
          <w:p>
            <w:pPr>
              <w:jc w:val="center"/>
            </w:pPr>
            <w:r>
              <w:rPr>
                <w:rFonts w:ascii="Arial" w:cs="Arial" w:eastAsia="Arial" w:hAnsi="Arial"/>
                <w:b/>
                <w:bCs/>
                <w:color w:val="FFFFFF"/>
                <w:sz w:val="36"/>
                <w:szCs w:val="36"/>
              </w:rPr>
              <w:t xml:space="preserve">4</w:t>
            </w:r>
          </w:p>
        </w:tc>
        <w:tc>
          <w:tcPr>
            <w:tcW w:type="dxa" w:w="8360"/>
            <w:tcBorders>
              <w:top w:val="none" w:color="FFFFFF" w:sz="0"/>
              <w:left w:val="none" w:color="FFFFFF" w:sz="0"/>
              <w:bottom w:val="none" w:color="FFFFFF" w:sz="0"/>
              <w:right w:val="none" w:color="FFFFFF" w:sz="0"/>
            </w:tcBorders>
            <w:shd w:fill="F5F5F5" w:val="clear"/>
            <w:tcMar>
              <w:top w:type="dxa" w:w="120"/>
              <w:left w:type="dxa" w:w="200"/>
              <w:bottom w:type="dxa" w:w="120"/>
              <w:right w:type="dxa" w:w="120"/>
            </w:tcMar>
          </w:tcPr>
          <w:p>
            <w:pPr>
              <w:spacing w:after="60" w:before="0"/>
            </w:pPr>
            <w:r>
              <w:rPr>
                <w:rFonts w:ascii="Arial" w:cs="Arial" w:eastAsia="Arial" w:hAnsi="Arial"/>
                <w:b/>
                <w:bCs/>
                <w:color w:val="1A1A1A"/>
                <w:sz w:val="21"/>
                <w:szCs w:val="21"/>
              </w:rPr>
              <w:t xml:space="preserve">Acciones del asesor</w:t>
            </w:r>
          </w:p>
          <w:p>
            <w:pPr>
              <w:pStyle w:val="ListParagraph"/>
              <w:numPr>
                <w:ilvl w:val="0"/>
                <w:numId w:val="2"/>
              </w:numPr>
              <w:spacing w:after="30" w:before="30"/>
            </w:pPr>
            <w:r>
              <w:rPr>
                <w:rFonts w:ascii="Arial" w:cs="Arial" w:eastAsia="Arial" w:hAnsi="Arial"/>
                <w:color w:val="555555"/>
                <w:sz w:val="19"/>
                <w:szCs w:val="19"/>
              </w:rPr>
              <w:t xml:space="preserve">Confirmar turno — envío de mensaje via Callbell API</w:t>
            </w:r>
          </w:p>
          <w:p>
            <w:pPr>
              <w:pStyle w:val="ListParagraph"/>
              <w:numPr>
                <w:ilvl w:val="0"/>
                <w:numId w:val="2"/>
              </w:numPr>
              <w:spacing w:after="30" w:before="30"/>
            </w:pPr>
            <w:r>
              <w:rPr>
                <w:rFonts w:ascii="Arial" w:cs="Arial" w:eastAsia="Arial" w:hAnsi="Arial"/>
                <w:color w:val="555555"/>
                <w:sz w:val="19"/>
                <w:szCs w:val="19"/>
              </w:rPr>
              <w:t xml:space="preserve">Resolución automática de casos Tipo B (sin turno previo)</w:t>
            </w:r>
          </w:p>
          <w:p>
            <w:pPr>
              <w:pStyle w:val="ListParagraph"/>
              <w:numPr>
                <w:ilvl w:val="0"/>
                <w:numId w:val="2"/>
              </w:numPr>
              <w:spacing w:after="30" w:before="30"/>
            </w:pPr>
            <w:r>
              <w:rPr>
                <w:rFonts w:ascii="Arial" w:cs="Arial" w:eastAsia="Arial" w:hAnsi="Arial"/>
                <w:color w:val="555555"/>
                <w:sz w:val="19"/>
                <w:szCs w:val="19"/>
              </w:rPr>
              <w:t xml:space="preserve">Derivación a Chiclana con notificación por WhatsApp</w:t>
            </w:r>
          </w:p>
          <w:p>
            <w:pPr>
              <w:pStyle w:val="ListParagraph"/>
              <w:numPr>
                <w:ilvl w:val="0"/>
                <w:numId w:val="2"/>
              </w:numPr>
              <w:spacing w:after="30" w:before="30"/>
            </w:pPr>
            <w:r>
              <w:rPr>
                <w:rFonts w:ascii="Arial" w:cs="Arial" w:eastAsia="Arial" w:hAnsi="Arial"/>
                <w:color w:val="555555"/>
                <w:sz w:val="19"/>
                <w:szCs w:val="19"/>
              </w:rPr>
              <w:t xml:space="preserve">Registro de llamadas en el sistema</w:t>
            </w:r>
          </w:p>
          <w:p>
            <w:pPr>
              <w:pStyle w:val="ListParagraph"/>
              <w:numPr>
                <w:ilvl w:val="0"/>
                <w:numId w:val="2"/>
              </w:numPr>
              <w:spacing w:after="30" w:before="30"/>
            </w:pPr>
            <w:r>
              <w:rPr>
                <w:rFonts w:ascii="Arial" w:cs="Arial" w:eastAsia="Arial" w:hAnsi="Arial"/>
                <w:color w:val="555555"/>
                <w:sz w:val="19"/>
                <w:szCs w:val="19"/>
              </w:rPr>
              <w:t xml:space="preserve">Cierre de conversación en Callbell desde el panel</w:t>
            </w:r>
          </w:p>
          <w:p>
            <w:pPr>
              <w:pStyle w:val="ListParagraph"/>
              <w:numPr>
                <w:ilvl w:val="0"/>
                <w:numId w:val="2"/>
              </w:numPr>
              <w:spacing w:after="30" w:before="30"/>
            </w:pPr>
            <w:r>
              <w:rPr>
                <w:rFonts w:ascii="Arial" w:cs="Arial" w:eastAsia="Arial" w:hAnsi="Arial"/>
                <w:color w:val="555555"/>
                <w:sz w:val="19"/>
                <w:szCs w:val="19"/>
              </w:rPr>
              <w:t xml:space="preserve">Objetivo: el flujo completo funciona de punta a punta</w:t>
            </w:r>
          </w:p>
        </w:tc>
      </w:tr>
    </w:tbl>
    <w:p>
      <w:pPr>
        <w:spacing w:after="0" w:before="12"/>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854F0B" w:val="clear"/>
            <w:tcMar>
              <w:top w:type="dxa" w:w="120"/>
              <w:left w:type="dxa" w:w="120"/>
              <w:bottom w:type="dxa" w:w="120"/>
              <w:right w:type="dxa" w:w="80"/>
            </w:tcMar>
            <w:vAlign w:val="center"/>
          </w:tcPr>
          <w:p>
            <w:pPr>
              <w:jc w:val="center"/>
            </w:pPr>
            <w:r>
              <w:rPr>
                <w:rFonts w:ascii="Arial" w:cs="Arial" w:eastAsia="Arial" w:hAnsi="Arial"/>
                <w:color w:val="FFFFFF"/>
                <w:sz w:val="16"/>
                <w:szCs w:val="16"/>
              </w:rPr>
              <w:t xml:space="preserve">FASE</w:t>
            </w:r>
          </w:p>
          <w:p>
            <w:pPr>
              <w:jc w:val="center"/>
            </w:pPr>
            <w:r>
              <w:rPr>
                <w:rFonts w:ascii="Arial" w:cs="Arial" w:eastAsia="Arial" w:hAnsi="Arial"/>
                <w:b/>
                <w:bCs/>
                <w:color w:val="FFFFFF"/>
                <w:sz w:val="36"/>
                <w:szCs w:val="36"/>
              </w:rPr>
              <w:t xml:space="preserve">5</w:t>
            </w:r>
          </w:p>
        </w:tc>
        <w:tc>
          <w:tcPr>
            <w:tcW w:type="dxa" w:w="8360"/>
            <w:tcBorders>
              <w:top w:val="none" w:color="FFFFFF" w:sz="0"/>
              <w:left w:val="none" w:color="FFFFFF" w:sz="0"/>
              <w:bottom w:val="none" w:color="FFFFFF" w:sz="0"/>
              <w:right w:val="none" w:color="FFFFFF" w:sz="0"/>
            </w:tcBorders>
            <w:shd w:fill="F5F5F5" w:val="clear"/>
            <w:tcMar>
              <w:top w:type="dxa" w:w="120"/>
              <w:left w:type="dxa" w:w="200"/>
              <w:bottom w:type="dxa" w:w="120"/>
              <w:right w:type="dxa" w:w="120"/>
            </w:tcMar>
          </w:tcPr>
          <w:p>
            <w:pPr>
              <w:spacing w:after="60" w:before="0"/>
            </w:pPr>
            <w:r>
              <w:rPr>
                <w:rFonts w:ascii="Arial" w:cs="Arial" w:eastAsia="Arial" w:hAnsi="Arial"/>
                <w:b/>
                <w:bCs/>
                <w:color w:val="1A1A1A"/>
                <w:sz w:val="21"/>
                <w:szCs w:val="21"/>
              </w:rPr>
              <w:t xml:space="preserve">Seguimiento y métricas</w:t>
            </w:r>
          </w:p>
          <w:p>
            <w:pPr>
              <w:pStyle w:val="ListParagraph"/>
              <w:numPr>
                <w:ilvl w:val="0"/>
                <w:numId w:val="2"/>
              </w:numPr>
              <w:spacing w:after="30" w:before="30"/>
            </w:pPr>
            <w:r>
              <w:rPr>
                <w:rFonts w:ascii="Arial" w:cs="Arial" w:eastAsia="Arial" w:hAnsi="Arial"/>
                <w:color w:val="555555"/>
                <w:sz w:val="19"/>
                <w:szCs w:val="19"/>
              </w:rPr>
              <w:t xml:space="preserve">Sistema de notas internas con fecha de seguimiento</w:t>
            </w:r>
          </w:p>
          <w:p>
            <w:pPr>
              <w:pStyle w:val="ListParagraph"/>
              <w:numPr>
                <w:ilvl w:val="0"/>
                <w:numId w:val="2"/>
              </w:numPr>
              <w:spacing w:after="30" w:before="30"/>
            </w:pPr>
            <w:r>
              <w:rPr>
                <w:rFonts w:ascii="Arial" w:cs="Arial" w:eastAsia="Arial" w:hAnsi="Arial"/>
                <w:color w:val="555555"/>
                <w:sz w:val="19"/>
                <w:szCs w:val="19"/>
              </w:rPr>
              <w:t xml:space="preserve">Vista de seguimientos pendientes para el día</w:t>
            </w:r>
          </w:p>
          <w:p>
            <w:pPr>
              <w:pStyle w:val="ListParagraph"/>
              <w:numPr>
                <w:ilvl w:val="0"/>
                <w:numId w:val="2"/>
              </w:numPr>
              <w:spacing w:after="30" w:before="30"/>
            </w:pPr>
            <w:r>
              <w:rPr>
                <w:rFonts w:ascii="Arial" w:cs="Arial" w:eastAsia="Arial" w:hAnsi="Arial"/>
                <w:color w:val="555555"/>
                <w:sz w:val="19"/>
                <w:szCs w:val="19"/>
              </w:rPr>
              <w:t xml:space="preserve">Reconocimiento de contactos recurrentes con historial</w:t>
            </w:r>
          </w:p>
          <w:p>
            <w:pPr>
              <w:pStyle w:val="ListParagraph"/>
              <w:numPr>
                <w:ilvl w:val="0"/>
                <w:numId w:val="2"/>
              </w:numPr>
              <w:spacing w:after="30" w:before="30"/>
            </w:pPr>
            <w:r>
              <w:rPr>
                <w:rFonts w:ascii="Arial" w:cs="Arial" w:eastAsia="Arial" w:hAnsi="Arial"/>
                <w:color w:val="555555"/>
                <w:sz w:val="19"/>
                <w:szCs w:val="19"/>
              </w:rPr>
              <w:t xml:space="preserve">Tablero de métricas operativas</w:t>
            </w:r>
          </w:p>
          <w:p>
            <w:pPr>
              <w:pStyle w:val="ListParagraph"/>
              <w:numPr>
                <w:ilvl w:val="0"/>
                <w:numId w:val="2"/>
              </w:numPr>
              <w:spacing w:after="30" w:before="30"/>
            </w:pPr>
            <w:r>
              <w:rPr>
                <w:rFonts w:ascii="Arial" w:cs="Arial" w:eastAsia="Arial" w:hAnsi="Arial"/>
                <w:color w:val="555555"/>
                <w:sz w:val="19"/>
                <w:szCs w:val="19"/>
              </w:rPr>
              <w:t xml:space="preserve">Historial completo por caso</w:t>
            </w:r>
          </w:p>
          <w:p>
            <w:pPr>
              <w:pStyle w:val="ListParagraph"/>
              <w:numPr>
                <w:ilvl w:val="0"/>
                <w:numId w:val="2"/>
              </w:numPr>
              <w:spacing w:after="30" w:before="30"/>
            </w:pPr>
            <w:r>
              <w:rPr>
                <w:rFonts w:ascii="Arial" w:cs="Arial" w:eastAsia="Arial" w:hAnsi="Arial"/>
                <w:color w:val="555555"/>
                <w:sz w:val="19"/>
                <w:szCs w:val="19"/>
              </w:rPr>
              <w:t xml:space="preserve">Objetivo: visibilidad total del pipeline de consultas</w:t>
            </w:r>
          </w:p>
        </w:tc>
      </w:tr>
    </w:tbl>
    <w:p>
      <w:pPr>
        <w:spacing w:after="0" w:before="200"/>
      </w:pPr>
      <w:r>
        <w:t xml:space="preserve"/>
      </w:r>
    </w:p>
    <w:p>
      <w:pPr>
        <w:pStyle w:val="Heading1"/>
        <w:pBdr>
          <w:bottom w:val="single" w:color="2C5F8A" w:sz="6" w:space="4"/>
        </w:pBdr>
        <w:spacing w:after="200" w:before="400"/>
      </w:pPr>
      <w:r>
        <w:rPr>
          <w:rFonts w:ascii="Arial" w:cs="Arial" w:eastAsia="Arial" w:hAnsi="Arial"/>
          <w:b/>
          <w:bCs/>
          <w:color w:val="1B4F8A"/>
          <w:sz w:val="32"/>
          <w:szCs w:val="32"/>
        </w:rPr>
        <w:t xml:space="preserve">12. Fuera de alcance —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6"/>
              <w:bottom w:val="none" w:color="FFFFFF" w:sz="0"/>
              <w:right w:val="none" w:color="FFFFFF" w:sz="0"/>
            </w:tcBorders>
            <w:shd w:fill="FAEEDA" w:val="clear"/>
            <w:tcMar>
              <w:top w:type="dxa" w:w="120"/>
              <w:left w:type="dxa" w:w="200"/>
              <w:bottom w:type="dxa" w:w="120"/>
              <w:right w:type="dxa" w:w="160"/>
            </w:tcMar>
          </w:tcPr>
          <w:p>
            <w:r>
              <w:rPr>
                <w:rFonts w:ascii="Arial" w:cs="Arial" w:eastAsia="Arial" w:hAnsi="Arial"/>
                <w:i/>
                <w:iCs/>
                <w:color w:val="1A1A1A"/>
                <w:sz w:val="19"/>
                <w:szCs w:val="19"/>
              </w:rPr>
              <w:t xml:space="preserve">Las siguientes funcionalidades fueron identificadas como valiosas pero se excluyen explícitamente de la primera versión para mantener el alcance manejable y entregar valor rápido.</w:t>
            </w:r>
          </w:p>
        </w:tc>
      </w:tr>
    </w:tbl>
    <w:p>
      <w:pPr>
        <w:spacing w:after="0" w:before="120"/>
      </w:pPr>
      <w:r>
        <w:t xml:space="preserve"/>
      </w:r>
    </w:p>
    <w:p>
      <w:pPr>
        <w:pStyle w:val="ListParagraph"/>
        <w:numPr>
          <w:ilvl w:val="0"/>
          <w:numId w:val="2"/>
        </w:numPr>
        <w:spacing w:after="40" w:before="40"/>
      </w:pPr>
      <w:r>
        <w:rPr>
          <w:rFonts w:ascii="Arial" w:cs="Arial" w:eastAsia="Arial" w:hAnsi="Arial"/>
          <w:b w:val="false"/>
          <w:bCs w:val="false"/>
          <w:color w:val="1A1A1A"/>
          <w:sz w:val="20"/>
          <w:szCs w:val="20"/>
        </w:rPr>
        <w:t xml:space="preserve">Integración directa con el RIS IT SOS — el asesor sigue registrando el turno en el RIS manualmente</w:t>
      </w:r>
    </w:p>
    <w:p>
      <w:pPr>
        <w:pStyle w:val="ListParagraph"/>
        <w:numPr>
          <w:ilvl w:val="0"/>
          <w:numId w:val="2"/>
        </w:numPr>
        <w:spacing w:after="40" w:before="40"/>
      </w:pPr>
      <w:r>
        <w:rPr>
          <w:rFonts w:ascii="Arial" w:cs="Arial" w:eastAsia="Arial" w:hAnsi="Arial"/>
          <w:b w:val="false"/>
          <w:bCs w:val="false"/>
          <w:color w:val="1A1A1A"/>
          <w:sz w:val="20"/>
          <w:szCs w:val="20"/>
        </w:rPr>
        <w:t xml:space="preserve">Recordatorios automáticos pre-turno por WhatsApp — Meta clasifica estos mensajes como spam en el plan actual</w:t>
      </w:r>
    </w:p>
    <w:p>
      <w:pPr>
        <w:pStyle w:val="ListParagraph"/>
        <w:numPr>
          <w:ilvl w:val="0"/>
          <w:numId w:val="2"/>
        </w:numPr>
        <w:spacing w:after="40" w:before="40"/>
      </w:pPr>
      <w:r>
        <w:rPr>
          <w:rFonts w:ascii="Arial" w:cs="Arial" w:eastAsia="Arial" w:hAnsi="Arial"/>
          <w:b w:val="false"/>
          <w:bCs w:val="false"/>
          <w:color w:val="1A1A1A"/>
          <w:sz w:val="20"/>
          <w:szCs w:val="20"/>
        </w:rPr>
        <w:t xml:space="preserve">Portal médico para la Dra. Biondi u otros médicos derivantes</w:t>
      </w:r>
    </w:p>
    <w:p>
      <w:pPr>
        <w:pStyle w:val="ListParagraph"/>
        <w:numPr>
          <w:ilvl w:val="0"/>
          <w:numId w:val="2"/>
        </w:numPr>
        <w:spacing w:after="40" w:before="40"/>
      </w:pPr>
      <w:r>
        <w:rPr>
          <w:rFonts w:ascii="Arial" w:cs="Arial" w:eastAsia="Arial" w:hAnsi="Arial"/>
          <w:b w:val="false"/>
          <w:bCs w:val="false"/>
          <w:color w:val="1A1A1A"/>
          <w:sz w:val="20"/>
          <w:szCs w:val="20"/>
        </w:rPr>
        <w:t xml:space="preserve">Módulo de facturación a obras sociales</w:t>
      </w:r>
    </w:p>
    <w:p>
      <w:pPr>
        <w:pStyle w:val="ListParagraph"/>
        <w:numPr>
          <w:ilvl w:val="0"/>
          <w:numId w:val="2"/>
        </w:numPr>
        <w:spacing w:after="40" w:before="40"/>
      </w:pPr>
      <w:r>
        <w:rPr>
          <w:rFonts w:ascii="Arial" w:cs="Arial" w:eastAsia="Arial" w:hAnsi="Arial"/>
          <w:b w:val="false"/>
          <w:bCs w:val="false"/>
          <w:color w:val="1A1A1A"/>
          <w:sz w:val="20"/>
          <w:szCs w:val="20"/>
        </w:rPr>
        <w:t xml:space="preserve">App móvil para asesores</w:t>
      </w:r>
    </w:p>
    <w:p>
      <w:pPr>
        <w:pStyle w:val="ListParagraph"/>
        <w:numPr>
          <w:ilvl w:val="0"/>
          <w:numId w:val="2"/>
        </w:numPr>
        <w:spacing w:after="40" w:before="40"/>
      </w:pPr>
      <w:r>
        <w:rPr>
          <w:rFonts w:ascii="Arial" w:cs="Arial" w:eastAsia="Arial" w:hAnsi="Arial"/>
          <w:b w:val="false"/>
          <w:bCs w:val="false"/>
          <w:color w:val="1A1A1A"/>
          <w:sz w:val="20"/>
          <w:szCs w:val="20"/>
        </w:rPr>
        <w:t xml:space="preserve">Integración con GAMA Laboratorios — el sistema es exclusivo para Lavalle 11</w:t>
      </w:r>
    </w:p>
    <w:p>
      <w:pPr>
        <w:pStyle w:val="ListParagraph"/>
        <w:numPr>
          <w:ilvl w:val="0"/>
          <w:numId w:val="2"/>
        </w:numPr>
        <w:spacing w:after="40" w:before="40"/>
      </w:pPr>
      <w:r>
        <w:rPr>
          <w:rFonts w:ascii="Arial" w:cs="Arial" w:eastAsia="Arial" w:hAnsi="Arial"/>
          <w:b w:val="false"/>
          <w:bCs w:val="false"/>
          <w:color w:val="1A1A1A"/>
          <w:sz w:val="20"/>
          <w:szCs w:val="20"/>
        </w:rPr>
        <w:t xml:space="preserve">Escalado a otros centros de diagnóstico — fuera del alcance de esta versión</w:t>
      </w:r>
    </w:p>
    <w:p>
      <w:pPr>
        <w:spacing w:after="0" w:before="200"/>
      </w:pPr>
      <w:r>
        <w:t xml:space="preserve"/>
      </w:r>
    </w:p>
    <w:p>
      <w:pPr>
        <w:pBdr>
          <w:top w:val="single" w:color="DDDDDD" w:sz="4" w:space="8"/>
        </w:pBdr>
        <w:spacing w:after="0" w:before="160"/>
        <w:jc w:val="center"/>
      </w:pPr>
      <w:r>
        <w:rPr>
          <w:rFonts w:ascii="Arial" w:cs="Arial" w:eastAsia="Arial" w:hAnsi="Arial"/>
          <w:color w:val="888888"/>
          <w:sz w:val="16"/>
          <w:szCs w:val="16"/>
        </w:rPr>
        <w:t xml:space="preserve">Preparado por RIA · r-ia.vercel.app · Junio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2026-06-09T22:39:19.208Z</dcterms:created>
  <dcterms:modified xsi:type="dcterms:W3CDTF">2026-06-09T22:39:19.220Z</dcterms:modified>
</cp:coreProperties>
</file>

<file path=docProps/custom.xml><?xml version="1.0" encoding="utf-8"?>
<Properties xmlns="http://schemas.openxmlformats.org/officeDocument/2006/custom-properties" xmlns:vt="http://schemas.openxmlformats.org/officeDocument/2006/docPropsVTypes"/>
</file>