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CC0000"/>
          <w:sz w:val="32"/>
          <w:szCs w:val="32"/>
        </w:rPr>
        <w:t xml:space="preserve">CARDIFF UNIVERSITY</w:t>
      </w:r>
    </w:p>
    <w:p>
      <w:pPr>
        <w:spacing w:after="100"/>
      </w:pPr>
      <w:r>
        <w:rPr>
          <w:color w:val="333333"/>
          <w:sz w:val="20"/>
          <w:szCs w:val="20"/>
        </w:rPr>
        <w:t xml:space="preserve">PRIFYSGOL CAERDYDD</w:t>
      </w:r>
    </w:p>
    <w:p>
      <w:pPr>
        <w:pBdr>
          <w:bottom w:val="single" w:color="CC0000" w:sz="6"/>
        </w:pBdr>
        <w:spacing w:after="300"/>
      </w:pPr>
    </w:p>
    <w:p>
      <w:pPr>
        <w:spacing w:after="0"/>
      </w:pPr>
      <w:r>
        <w:rPr>
          <w:b/>
          <w:bCs/>
        </w:rPr>
        <w:t xml:space="preserve">Dr Peter Theobald</w:t>
      </w:r>
    </w:p>
    <w:p>
      <w:pPr>
        <w:spacing w:after="0"/>
      </w:pPr>
      <w:r>
        <w:rPr>
          <w:color w:val="444444"/>
          <w:sz w:val="20"/>
          <w:szCs w:val="20"/>
        </w:rPr>
        <w:t xml:space="preserve">Reader in Biomedical Engineering</w:t>
      </w:r>
    </w:p>
    <w:p>
      <w:pPr>
        <w:spacing w:after="0"/>
      </w:pPr>
      <w:r>
        <w:rPr>
          <w:color w:val="444444"/>
          <w:sz w:val="20"/>
          <w:szCs w:val="20"/>
        </w:rPr>
        <w:t xml:space="preserve">Cardiff School of Engineering, Cardiff University</w:t>
      </w:r>
    </w:p>
    <w:p>
      <w:pPr>
        <w:spacing w:after="300"/>
      </w:pPr>
      <w:r>
        <w:rPr>
          <w:color w:val="444444"/>
          <w:sz w:val="20"/>
          <w:szCs w:val="20"/>
        </w:rPr>
        <w:t xml:space="preserve">The Parade, Cardiff, CF24 3AA, UK</w:t>
      </w:r>
    </w:p>
    <w:p>
      <w:pPr>
        <w:spacing w:after="300"/>
      </w:pPr>
      <w:r>
        <w:t xml:space="preserve">March 25, 2026</w:t>
      </w:r>
    </w:p>
    <w:p>
      <w:pPr>
        <w:spacing w:after="0"/>
      </w:pPr>
      <w:r>
        <w:rPr>
          <w:b/>
          <w:bCs/>
        </w:rPr>
        <w:t xml:space="preserve">Editorial Office</w:t>
      </w:r>
    </w:p>
    <w:p>
      <w:pPr>
        <w:spacing w:after="300"/>
      </w:pPr>
      <w:r>
        <w:rPr>
          <w:i/>
          <w:iCs/>
        </w:rPr>
        <w:t xml:space="preserve">BMC Genomics</w:t>
      </w:r>
    </w:p>
    <w:p>
      <w:pPr>
        <w:spacing w:after="200"/>
      </w:pPr>
      <w:r>
        <w:t xml:space="preserve">Dear Editors,</w:t>
      </w:r>
    </w:p>
    <w:p>
      <w:pPr>
        <w:spacing w:after="200"/>
        <w:jc w:val="both"/>
      </w:pPr>
      <w:r>
        <w:t xml:space="preserve">We are pleased to submit our manuscript entitled “</w:t>
      </w:r>
      <w:r>
        <w:rPr>
          <w:i/>
          <w:iCs/>
        </w:rPr>
        <w:t xml:space="preserve">A Multi-Tissue Transcriptomic Atlas of Porcine Development Identifies Conserved Molecular Programs with Humans</w:t>
      </w:r>
      <w:r>
        <w:t xml:space="preserve">” for consideration as a Research Article in </w:t>
      </w:r>
      <w:r>
        <w:rPr>
          <w:i/>
          <w:iCs/>
        </w:rPr>
        <w:t xml:space="preserve">BMC Genomics</w:t>
      </w:r>
      <w:r>
        <w:t xml:space="preserve">.</w:t>
      </w:r>
    </w:p>
    <w:p>
      <w:pPr>
        <w:spacing w:after="200"/>
        <w:jc w:val="both"/>
      </w:pPr>
      <w:r>
        <w:t xml:space="preserve">A fundamental challenge in pig research is the lack of a standardised molecular framework for defining developmental stage. Current practice relies on chronological age or morphological criteria, which are poor proxies for biological maturity and introduce confounding variability across studies in nutrition, growth physiology, and disease modelling. While epigenetic clocks have enabled broad biological age estimation across mammals, they primarily capture cumulative methylation drift rather than the abrupt transcriptional switches that mark developmental phase transitions. This gap limits reproducibility and hinders cross-species translation—despite the pig being one of the most important preclinical models for human conditions.</w:t>
      </w:r>
    </w:p>
    <w:p>
      <w:pPr>
        <w:spacing w:after="200"/>
        <w:jc w:val="both"/>
      </w:pPr>
      <w:r>
        <w:t xml:space="preserve">To address this, we constructed the first multi-tissue transcriptomic atlas of porcine postnatal development—establishing transcriptomic developmental clocks as a complement to epigenetic age clocks. Using 1,924 RNA-seq profiles from the PigGTEx resource spanning five major tissues (brain, liver, muscle, lung, and blood), we trained ordinal machine learning models that infer developmental stage directly from gene expression with high accuracy (mean balanced accuracy: 0.90). Unlike methylation-based clocks, our transcriptomic approach captures functional gene programs directly, making the biological basis of staging transparent and interpretable. Our analysis reveals profoundly tissue-specific molecular programs underlying maturation, with extremely low cross-tissue feature overlap (0.2% Jaccard similarity), quantifying for the first time that each tissue follows distinct regulatory logic during postnatal development.</w:t>
      </w:r>
    </w:p>
    <w:p>
      <w:pPr>
        <w:spacing w:after="200"/>
        <w:jc w:val="both"/>
      </w:pPr>
      <w:r>
        <w:t xml:space="preserve">We focused cross-species validation on skeletal muscle—the most translationally relevant tissue in our atlas—and identified 66 conserved developmental genes with 97% directional concordance in expression trajectories (Pearson </w:t>
      </w:r>
      <w:r>
        <w:rPr>
          <w:i/>
          <w:iCs/>
        </w:rPr>
        <w:t xml:space="preserve">r</w:t>
      </w:r>
      <w:r>
        <w:t xml:space="preserve"> = 0.69, 95% CI: 0.54–0.80), providing strong evidence that the core developmental logic of mammalian skeletal muscle has been conserved over approximately 80 million years of divergence. To facilitate community adoption, we have developed and deployed an interactive web application (</w:t>
      </w:r>
      <w:hyperlink w:history="1" r:id="rIdpjtvjzpipvxr37xipjdtk">
        <w:r>
          <w:rPr>
            <w:rStyle w:val="Hyperlink"/>
          </w:rPr>
          <w:t xml:space="preserve">https://pigdevstage.streamlit.app</w:t>
        </w:r>
      </w:hyperlink>
      <w:r>
        <w:t xml:space="preserve">) that enables researchers to predict developmental stages from their own gene expression data.</w:t>
      </w:r>
    </w:p>
    <w:p>
      <w:pPr>
        <w:spacing w:after="200"/>
        <w:jc w:val="both"/>
      </w:pPr>
      <w:r>
        <w:t xml:space="preserve">We believe this work is well suited for </w:t>
      </w:r>
      <w:r>
        <w:rPr>
          <w:i/>
          <w:iCs/>
        </w:rPr>
        <w:t xml:space="preserve">BMC Genomics</w:t>
      </w:r>
      <w:r>
        <w:t xml:space="preserve"> for three reasons. First, the atlas provides an immediately applicable tool for standardising experimental cohorts in swine research—a topic central to the journal’s scope in genomics and transcriptomics. Second, by demonstrating conserved molecular programs between pigs and humans, we strengthen the scientific basis for using pigs as translational models, with direct implications for disease modelling (e.g., Duchenne Muscular Dystrophy). Third, the framework is designed to be species-agnostic and extensible to other livestock species as developmental transcriptomic data become available, aligning with the journal’s broad scope in comparative and functional genomics.</w:t>
      </w:r>
    </w:p>
    <w:p>
      <w:pPr>
        <w:spacing w:after="200"/>
        <w:jc w:val="both"/>
      </w:pPr>
      <w:r>
        <w:t xml:space="preserve">This manuscript has not been published previously and is not under consideration elsewhere. All authors have approved the submitted version. We have no conflicts of interest to declare.</w:t>
      </w:r>
    </w:p>
    <w:p>
      <w:pPr>
        <w:spacing w:after="100"/>
        <w:jc w:val="both"/>
      </w:pPr>
      <w:r>
        <w:t xml:space="preserve">We suggest the following potential reviewers based on their expertise in porcine genomics, developmental biology, and cross-species translation:</w:t>
      </w:r>
    </w:p>
    <w:p>
      <w:pPr>
        <w:pStyle w:val="ListParagraph"/>
        <w:numPr>
          <w:ilvl w:val="0"/>
          <w:numId w:val="2"/>
        </w:numPr>
        <w:spacing w:after="60"/>
      </w:pPr>
      <w:r>
        <w:rPr>
          <w:b/>
          <w:bCs/>
        </w:rPr>
        <w:t xml:space="preserve">Prof. Emeritus Martien Groenen</w:t>
      </w:r>
      <w:r>
        <w:t xml:space="preserve"> — Wageningen University &amp; Research, Netherlands (pig genome assembly, comparative genomics, FAANG steering committee)</w:t>
      </w:r>
    </w:p>
    <w:p>
      <w:pPr>
        <w:pStyle w:val="ListParagraph"/>
        <w:numPr>
          <w:ilvl w:val="0"/>
          <w:numId w:val="2"/>
        </w:numPr>
        <w:spacing w:after="60"/>
      </w:pPr>
      <w:r>
        <w:rPr>
          <w:b/>
          <w:bCs/>
        </w:rPr>
        <w:t xml:space="preserve">Prof. Christopher Tuggle</w:t>
      </w:r>
      <w:r>
        <w:t xml:space="preserve"> — Iowa State University, USA (porcine functional genomics, immunogenomics, FAANG consortium)</w:t>
      </w:r>
    </w:p>
    <w:p>
      <w:pPr>
        <w:pStyle w:val="ListParagraph"/>
        <w:numPr>
          <w:ilvl w:val="0"/>
          <w:numId w:val="2"/>
        </w:numPr>
        <w:spacing w:after="300"/>
      </w:pPr>
      <w:r>
        <w:rPr>
          <w:b/>
          <w:bCs/>
        </w:rPr>
        <w:t xml:space="preserve">Dr Kyle Schachtschneider</w:t>
      </w:r>
      <w:r>
        <w:t xml:space="preserve"> — University of Illinois at Chicago / Sus Clinicals Inc., USA (porcine epigenetic clocks, biological aging, pig as biomedical model)</w:t>
      </w:r>
    </w:p>
    <w:p>
      <w:pPr>
        <w:spacing w:after="200"/>
      </w:pPr>
      <w:r>
        <w:t xml:space="preserve">Thank you for considering our submission. We look forward to your response.</w:t>
      </w:r>
    </w:p>
    <w:p>
      <w:pPr>
        <w:spacing w:after="400"/>
      </w:pPr>
      <w:r>
        <w:t xml:space="preserve">Yours sincerely,</w:t>
      </w:r>
    </w:p>
    <w:p>
      <w:pPr>
        <w:spacing w:after="0"/>
      </w:pPr>
      <w:r>
        <w:rPr>
          <w:b/>
          <w:bCs/>
          <w:color w:val="CC0000"/>
        </w:rPr>
        <w:t xml:space="preserve">Peter Theobald</w:t>
      </w:r>
    </w:p>
    <w:p>
      <w:pPr>
        <w:spacing w:after="0"/>
      </w:pPr>
      <w:r>
        <w:rPr>
          <w:i/>
          <w:iCs/>
          <w:color w:val="444444"/>
          <w:sz w:val="20"/>
          <w:szCs w:val="20"/>
        </w:rPr>
        <w:t xml:space="preserve">on behalf of all authors</w:t>
      </w:r>
    </w:p>
    <w:p>
      <w:pPr>
        <w:spacing w:after="0"/>
      </w:pPr>
      <w:r>
        <w:rPr>
          <w:color w:val="444444"/>
          <w:sz w:val="20"/>
          <w:szCs w:val="20"/>
        </w:rPr>
        <w:t xml:space="preserve">Cardiff School of Engineering, Cardiff University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8"/>
        <w:szCs w:val="18"/>
      </w:rPr>
      <w:t xml:space="preserve">TheobaldPS@Cardiff.ac.uk</w:t>
    </w:r>
    <w:r>
      <w:t xml:space="preserve">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jtvjzpipvxr37xipjdtk" Type="http://schemas.openxmlformats.org/officeDocument/2006/relationships/hyperlink" Target="https://pigdevstage.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2026-03-26T13:05:01.672Z</dcterms:created>
  <dcterms:modified xsi:type="dcterms:W3CDTF">2026-03-26T13:05:01.673Z</dcterms:modified>
</cp:coreProperties>
</file>

<file path=docProps/custom.xml><?xml version="1.0" encoding="utf-8"?>
<Properties xmlns="http://schemas.openxmlformats.org/officeDocument/2006/custom-properties" xmlns:vt="http://schemas.openxmlformats.org/officeDocument/2006/docPropsVTypes"/>
</file>