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D51F5" w14:textId="02D4BF5B" w:rsidR="00AE09AF" w:rsidRPr="00DA70A9" w:rsidRDefault="00180EAD" w:rsidP="006C7777">
      <w:pPr>
        <w:spacing w:before="100" w:beforeAutospacing="1" w:after="100" w:afterAutospacing="1"/>
        <w:rPr>
          <w:rFonts w:ascii="Arial" w:hAnsi="Arial" w:cs="Arial"/>
          <w:b/>
          <w:bCs/>
        </w:rPr>
      </w:pPr>
      <w:r w:rsidRPr="00DA70A9">
        <w:rPr>
          <w:rFonts w:ascii="Arial" w:hAnsi="Arial" w:cs="Arial"/>
          <w:b/>
          <w:bCs/>
        </w:rPr>
        <w:t xml:space="preserve">Transcriptome Universal </w:t>
      </w:r>
      <w:r w:rsidR="00C06048" w:rsidRPr="00DA70A9">
        <w:rPr>
          <w:rFonts w:ascii="Arial" w:hAnsi="Arial" w:cs="Arial"/>
          <w:b/>
          <w:bCs/>
        </w:rPr>
        <w:t xml:space="preserve">Single-isoform </w:t>
      </w:r>
      <w:proofErr w:type="spellStart"/>
      <w:r w:rsidR="00EB585E" w:rsidRPr="00DA70A9">
        <w:rPr>
          <w:rFonts w:ascii="Arial" w:hAnsi="Arial" w:cs="Arial"/>
          <w:b/>
          <w:bCs/>
        </w:rPr>
        <w:t>COntrol</w:t>
      </w:r>
      <w:proofErr w:type="spellEnd"/>
      <w:r w:rsidR="00EB585E" w:rsidRPr="00DA70A9">
        <w:rPr>
          <w:rFonts w:ascii="Arial" w:hAnsi="Arial" w:cs="Arial"/>
          <w:b/>
          <w:bCs/>
        </w:rPr>
        <w:t>:</w:t>
      </w:r>
      <w:r w:rsidR="4754E41B" w:rsidRPr="00DA70A9">
        <w:rPr>
          <w:rFonts w:ascii="Arial" w:hAnsi="Arial" w:cs="Arial"/>
          <w:b/>
          <w:bCs/>
        </w:rPr>
        <w:t xml:space="preserve"> A Framework for Evaluating Transcriptome </w:t>
      </w:r>
      <w:r w:rsidR="55C13AF7" w:rsidRPr="00DA70A9">
        <w:rPr>
          <w:rFonts w:ascii="Arial" w:hAnsi="Arial" w:cs="Arial"/>
          <w:b/>
          <w:bCs/>
        </w:rPr>
        <w:t>reconstruction</w:t>
      </w:r>
      <w:r w:rsidR="54E11290" w:rsidRPr="00DA70A9">
        <w:rPr>
          <w:rFonts w:ascii="Arial" w:hAnsi="Arial" w:cs="Arial"/>
          <w:b/>
          <w:bCs/>
        </w:rPr>
        <w:t xml:space="preserve"> </w:t>
      </w:r>
      <w:r w:rsidR="4754E41B" w:rsidRPr="00DA70A9">
        <w:rPr>
          <w:rFonts w:ascii="Arial" w:hAnsi="Arial" w:cs="Arial"/>
          <w:b/>
          <w:bCs/>
        </w:rPr>
        <w:t>Quality</w:t>
      </w:r>
    </w:p>
    <w:p w14:paraId="78435B2A" w14:textId="176EBE63" w:rsidR="007A37C9" w:rsidRPr="00DA70A9" w:rsidRDefault="007A37C9" w:rsidP="006C7777">
      <w:pPr>
        <w:rPr>
          <w:rFonts w:ascii="Arial" w:hAnsi="Arial" w:cs="Arial"/>
          <w:lang w:val="es-ES"/>
        </w:rPr>
      </w:pPr>
      <w:r w:rsidRPr="00DA70A9">
        <w:rPr>
          <w:rFonts w:ascii="Arial" w:hAnsi="Arial" w:cs="Arial"/>
          <w:lang w:val="es-ES"/>
        </w:rPr>
        <w:t>Tianyuan Liu</w:t>
      </w:r>
      <w:r w:rsidRPr="00DA70A9">
        <w:rPr>
          <w:rFonts w:ascii="Arial" w:hAnsi="Arial" w:cs="Arial"/>
          <w:vertAlign w:val="superscript"/>
          <w:lang w:val="es-ES"/>
        </w:rPr>
        <w:t>1</w:t>
      </w:r>
      <w:r w:rsidRPr="00DA70A9">
        <w:rPr>
          <w:rFonts w:ascii="Arial" w:hAnsi="Arial" w:cs="Arial"/>
          <w:lang w:val="es-ES"/>
        </w:rPr>
        <w:t xml:space="preserve">, </w:t>
      </w:r>
      <w:r w:rsidR="005215CB" w:rsidRPr="00DA70A9">
        <w:rPr>
          <w:rFonts w:ascii="Arial" w:hAnsi="Arial" w:cs="Arial"/>
          <w:lang w:val="es-ES"/>
        </w:rPr>
        <w:t>Alejandro Paniagua</w:t>
      </w:r>
      <w:r w:rsidR="005215CB" w:rsidRPr="00DA70A9">
        <w:rPr>
          <w:rFonts w:ascii="Arial" w:hAnsi="Arial" w:cs="Arial"/>
          <w:vertAlign w:val="superscript"/>
          <w:lang w:val="es-ES"/>
        </w:rPr>
        <w:t>1</w:t>
      </w:r>
      <w:r w:rsidR="005215CB" w:rsidRPr="00DA70A9">
        <w:rPr>
          <w:rFonts w:ascii="Arial" w:hAnsi="Arial" w:cs="Arial"/>
          <w:lang w:val="es-ES"/>
        </w:rPr>
        <w:t xml:space="preserve">, Fabian </w:t>
      </w:r>
      <w:r w:rsidR="017F9359" w:rsidRPr="00DA70A9">
        <w:rPr>
          <w:rFonts w:ascii="Arial" w:hAnsi="Arial" w:cs="Arial"/>
          <w:lang w:val="es-ES"/>
        </w:rPr>
        <w:t>Jetzinger</w:t>
      </w:r>
      <w:r w:rsidR="017F9359" w:rsidRPr="00DA70A9">
        <w:rPr>
          <w:rFonts w:ascii="Arial" w:hAnsi="Arial" w:cs="Arial"/>
          <w:vertAlign w:val="superscript"/>
          <w:lang w:val="es-ES"/>
        </w:rPr>
        <w:t>2</w:t>
      </w:r>
      <w:r w:rsidR="017F9359" w:rsidRPr="00DA70A9">
        <w:rPr>
          <w:rFonts w:ascii="Arial" w:hAnsi="Arial" w:cs="Arial"/>
          <w:lang w:val="es-ES"/>
        </w:rPr>
        <w:t>, Adam Frankish</w:t>
      </w:r>
      <w:r w:rsidR="017F9359" w:rsidRPr="00DA70A9">
        <w:rPr>
          <w:rFonts w:ascii="Arial" w:hAnsi="Arial" w:cs="Arial"/>
          <w:vertAlign w:val="superscript"/>
          <w:lang w:val="es-ES"/>
        </w:rPr>
        <w:t>3</w:t>
      </w:r>
      <w:r w:rsidR="005215CB" w:rsidRPr="00DA70A9">
        <w:rPr>
          <w:rFonts w:ascii="Arial" w:hAnsi="Arial" w:cs="Arial"/>
          <w:lang w:val="es-ES"/>
        </w:rPr>
        <w:t>, Ana</w:t>
      </w:r>
      <w:r w:rsidRPr="00DA70A9">
        <w:rPr>
          <w:rFonts w:ascii="Arial" w:hAnsi="Arial" w:cs="Arial"/>
          <w:lang w:val="es-ES"/>
        </w:rPr>
        <w:t xml:space="preserve"> Conesa</w:t>
      </w:r>
      <w:r w:rsidRPr="00DA70A9">
        <w:rPr>
          <w:rFonts w:ascii="Arial" w:hAnsi="Arial" w:cs="Arial"/>
          <w:vertAlign w:val="superscript"/>
          <w:lang w:val="es-ES"/>
        </w:rPr>
        <w:t>1</w:t>
      </w:r>
      <w:r w:rsidR="005215CB" w:rsidRPr="00DA70A9">
        <w:rPr>
          <w:rFonts w:ascii="Arial" w:hAnsi="Arial" w:cs="Arial"/>
          <w:vertAlign w:val="superscript"/>
          <w:lang w:val="es-ES"/>
        </w:rPr>
        <w:t xml:space="preserve"> </w:t>
      </w:r>
    </w:p>
    <w:p w14:paraId="2671E4AF" w14:textId="19392FB3" w:rsidR="007A37C9" w:rsidRPr="00DA70A9" w:rsidRDefault="007A37C9" w:rsidP="006C7777">
      <w:pPr>
        <w:spacing w:before="100" w:beforeAutospacing="1" w:after="100" w:afterAutospacing="1"/>
        <w:rPr>
          <w:rFonts w:ascii="Arial" w:hAnsi="Arial" w:cs="Arial"/>
        </w:rPr>
      </w:pPr>
      <w:r w:rsidRPr="00DA70A9">
        <w:rPr>
          <w:rFonts w:ascii="Arial" w:hAnsi="Arial" w:cs="Arial"/>
          <w:vertAlign w:val="superscript"/>
        </w:rPr>
        <w:t>1</w:t>
      </w:r>
      <w:r w:rsidRPr="00DA70A9">
        <w:rPr>
          <w:rFonts w:ascii="Arial" w:hAnsi="Arial" w:cs="Arial"/>
        </w:rPr>
        <w:t>Institute for Integrative Systems Biology (I2SysBio), Spanish National Research Council (CSIC), Paterna 46980, Spain</w:t>
      </w:r>
    </w:p>
    <w:p w14:paraId="5DC4946A" w14:textId="349044AA" w:rsidR="005215CB" w:rsidRPr="00DA70A9" w:rsidRDefault="017F9359" w:rsidP="006C7777">
      <w:pPr>
        <w:shd w:val="clear" w:color="auto" w:fill="FFFFFF" w:themeFill="background1"/>
        <w:spacing w:after="0"/>
        <w:textAlignment w:val="baseline"/>
        <w:rPr>
          <w:rFonts w:ascii="Arial" w:hAnsi="Arial" w:cs="Arial"/>
        </w:rPr>
      </w:pPr>
      <w:r w:rsidRPr="00DA70A9">
        <w:rPr>
          <w:rFonts w:ascii="Arial" w:hAnsi="Arial" w:cs="Arial"/>
          <w:vertAlign w:val="superscript"/>
        </w:rPr>
        <w:t>2</w:t>
      </w:r>
      <w:r w:rsidRPr="00DA70A9">
        <w:rPr>
          <w:rFonts w:ascii="Arial" w:hAnsi="Arial" w:cs="Arial"/>
        </w:rPr>
        <w:t>BioBam</w:t>
      </w:r>
      <w:r w:rsidR="005215CB" w:rsidRPr="00DA70A9">
        <w:rPr>
          <w:rFonts w:ascii="Arial" w:hAnsi="Arial" w:cs="Arial"/>
        </w:rPr>
        <w:t xml:space="preserve"> Bioinformatics S.L., Valencia, 46024, Spain</w:t>
      </w:r>
    </w:p>
    <w:p w14:paraId="2B903343" w14:textId="12EEA0A1" w:rsidR="017F9359" w:rsidRPr="00DA70A9" w:rsidRDefault="017F9359" w:rsidP="006C7777">
      <w:pPr>
        <w:spacing w:beforeAutospacing="1" w:afterAutospacing="1"/>
        <w:rPr>
          <w:rFonts w:ascii="Arial" w:hAnsi="Arial" w:cs="Arial"/>
        </w:rPr>
      </w:pPr>
      <w:r w:rsidRPr="00DA70A9">
        <w:rPr>
          <w:rFonts w:ascii="Arial" w:hAnsi="Arial" w:cs="Arial"/>
          <w:vertAlign w:val="superscript"/>
        </w:rPr>
        <w:t>3</w:t>
      </w:r>
      <w:r w:rsidRPr="00DA70A9">
        <w:rPr>
          <w:rFonts w:ascii="Arial" w:hAnsi="Arial" w:cs="Arial"/>
        </w:rPr>
        <w:t xml:space="preserve">European Molecular Biology Laboratory, European Bioinformatics Institute, </w:t>
      </w:r>
      <w:proofErr w:type="spellStart"/>
      <w:r w:rsidRPr="00DA70A9">
        <w:rPr>
          <w:rFonts w:ascii="Arial" w:hAnsi="Arial" w:cs="Arial"/>
        </w:rPr>
        <w:t>Wellcome</w:t>
      </w:r>
      <w:proofErr w:type="spellEnd"/>
      <w:r w:rsidRPr="00DA70A9">
        <w:rPr>
          <w:rFonts w:ascii="Arial" w:hAnsi="Arial" w:cs="Arial"/>
        </w:rPr>
        <w:t xml:space="preserve"> Genome Campus </w:t>
      </w:r>
      <w:proofErr w:type="spellStart"/>
      <w:r w:rsidRPr="00DA70A9">
        <w:rPr>
          <w:rFonts w:ascii="Arial" w:hAnsi="Arial" w:cs="Arial"/>
        </w:rPr>
        <w:t>Hinxton</w:t>
      </w:r>
      <w:proofErr w:type="spellEnd"/>
      <w:r w:rsidRPr="00DA70A9">
        <w:rPr>
          <w:rFonts w:ascii="Arial" w:hAnsi="Arial" w:cs="Arial"/>
        </w:rPr>
        <w:t>, Cambridge CB10 1SA, United Kingdom</w:t>
      </w:r>
    </w:p>
    <w:p w14:paraId="5D2C8DB5" w14:textId="2F432864" w:rsidR="007A37C9" w:rsidRPr="00DA70A9" w:rsidRDefault="007A37C9" w:rsidP="006C7777">
      <w:pPr>
        <w:spacing w:before="100" w:beforeAutospacing="1" w:after="100" w:afterAutospacing="1"/>
        <w:rPr>
          <w:rFonts w:ascii="Arial" w:hAnsi="Arial" w:cs="Arial"/>
        </w:rPr>
      </w:pPr>
      <w:r w:rsidRPr="00DA70A9">
        <w:rPr>
          <w:rFonts w:ascii="Arial" w:hAnsi="Arial" w:cs="Arial"/>
        </w:rPr>
        <w:t>Contact: ana.conesa@csic.es</w:t>
      </w:r>
    </w:p>
    <w:p w14:paraId="0BDEDB60" w14:textId="56D9EA22" w:rsidR="001C678C" w:rsidRPr="00DA70A9" w:rsidRDefault="001C678C" w:rsidP="006C7777">
      <w:pPr>
        <w:tabs>
          <w:tab w:val="left" w:pos="7981"/>
        </w:tabs>
        <w:spacing w:before="100" w:beforeAutospacing="1" w:after="100" w:afterAutospacing="1"/>
        <w:rPr>
          <w:rFonts w:ascii="Arial" w:hAnsi="Arial" w:cs="Arial"/>
          <w:b/>
          <w:bCs/>
        </w:rPr>
      </w:pPr>
      <w:commentRangeStart w:id="0"/>
      <w:commentRangeStart w:id="1"/>
      <w:r w:rsidRPr="00DA70A9">
        <w:rPr>
          <w:rFonts w:ascii="Arial" w:hAnsi="Arial" w:cs="Arial"/>
          <w:b/>
          <w:bCs/>
        </w:rPr>
        <w:t>Abstract</w:t>
      </w:r>
      <w:commentRangeEnd w:id="0"/>
      <w:r w:rsidR="00017BB7">
        <w:rPr>
          <w:rStyle w:val="CommentReference"/>
          <w:sz w:val="20"/>
          <w:szCs w:val="20"/>
        </w:rPr>
        <w:commentReference w:id="0"/>
      </w:r>
      <w:commentRangeEnd w:id="1"/>
      <w:r w:rsidR="00017BB7">
        <w:rPr>
          <w:rStyle w:val="CommentReference"/>
          <w:sz w:val="20"/>
          <w:szCs w:val="20"/>
        </w:rPr>
        <w:commentReference w:id="1"/>
      </w:r>
      <w:r w:rsidR="00AF359E">
        <w:tab/>
      </w:r>
    </w:p>
    <w:p w14:paraId="6F44BB50" w14:textId="521DB16F" w:rsidR="0000135E" w:rsidRPr="00DA70A9" w:rsidRDefault="62BA7587" w:rsidP="006C7777">
      <w:pPr>
        <w:spacing w:before="100" w:beforeAutospacing="1" w:after="100" w:afterAutospacing="1"/>
        <w:rPr>
          <w:rFonts w:ascii="Arial" w:hAnsi="Arial" w:cs="Arial"/>
        </w:rPr>
      </w:pPr>
      <w:r w:rsidRPr="00DA70A9">
        <w:rPr>
          <w:rFonts w:ascii="Arial" w:hAnsi="Arial" w:cs="Arial"/>
        </w:rPr>
        <w:t xml:space="preserve">Long-read sequencing (LRS) platforms, such as Oxford Nanopore and Pacific Biosciences, enable comprehensive transcriptome analysis but face challenges such as sequencing errors, sample quality variability, and library preparation biases. Current benchmarking approaches address these issues insufficiently: BUSCO assesses transcriptome completeness using conserved single-copy orthologs but can misinterpret alternative splicing as gene duplications, while spike-ins (SIRVs, ERCCs) oversimplify real-sample complexity, neglecting RNA degradation and RNA extraction artifacts, thus inflating performance metrics. </w:t>
      </w:r>
      <w:r w:rsidR="6984ADC4" w:rsidRPr="6984ADC4">
        <w:rPr>
          <w:rFonts w:ascii="Arial" w:hAnsi="Arial" w:cs="Arial"/>
        </w:rPr>
        <w:t xml:space="preserve">Simulation algorithms are limited to recapitulate this complexity. </w:t>
      </w:r>
      <w:r w:rsidRPr="00DA70A9">
        <w:rPr>
          <w:rFonts w:ascii="Arial" w:hAnsi="Arial" w:cs="Arial"/>
        </w:rPr>
        <w:t xml:space="preserve">To overcome these limitations, we introduce the </w:t>
      </w:r>
      <w:r w:rsidR="00014B20" w:rsidRPr="00DA70A9">
        <w:rPr>
          <w:rFonts w:ascii="Arial" w:hAnsi="Arial" w:cs="Arial"/>
        </w:rPr>
        <w:t xml:space="preserve">Transcriptome Universal Single-isoform Control </w:t>
      </w:r>
      <w:r w:rsidRPr="00DA70A9">
        <w:rPr>
          <w:rFonts w:ascii="Arial" w:hAnsi="Arial" w:cs="Arial"/>
        </w:rPr>
        <w:t>(</w:t>
      </w:r>
      <w:r w:rsidR="00014B20" w:rsidRPr="00DA70A9">
        <w:rPr>
          <w:rFonts w:ascii="Arial" w:hAnsi="Arial" w:cs="Arial"/>
        </w:rPr>
        <w:t>TUSCO</w:t>
      </w:r>
      <w:r w:rsidRPr="00DA70A9">
        <w:rPr>
          <w:rFonts w:ascii="Arial" w:hAnsi="Arial" w:cs="Arial"/>
        </w:rPr>
        <w:t xml:space="preserve">), a curated internal reference set of genes lacking alternative isoforms. </w:t>
      </w:r>
      <w:r w:rsidR="00014B20" w:rsidRPr="00DA70A9">
        <w:rPr>
          <w:rFonts w:ascii="Arial" w:hAnsi="Arial" w:cs="Arial"/>
        </w:rPr>
        <w:t>TUSCO</w:t>
      </w:r>
      <w:r w:rsidRPr="00DA70A9">
        <w:rPr>
          <w:rFonts w:ascii="Arial" w:hAnsi="Arial" w:cs="Arial"/>
        </w:rPr>
        <w:t xml:space="preserve"> evaluates precision by identifying transcripts deviating from reference annotations and assesses sensitivity by verifying detection completeness in human and mouse samples. </w:t>
      </w:r>
      <w:r w:rsidR="3E0361FD" w:rsidRPr="00DA70A9">
        <w:rPr>
          <w:rFonts w:ascii="Arial" w:hAnsi="Arial" w:cs="Arial"/>
        </w:rPr>
        <w:t>The TUSCO gene set, when hidden from reference annotations, can also be used to benchmark novel isoform calls. Our</w:t>
      </w:r>
      <w:r w:rsidRPr="00DA70A9">
        <w:rPr>
          <w:rFonts w:ascii="Arial" w:hAnsi="Arial" w:cs="Arial"/>
        </w:rPr>
        <w:t xml:space="preserve"> validation demonstrates that </w:t>
      </w:r>
      <w:r w:rsidR="00CD0428" w:rsidRPr="00DA70A9">
        <w:rPr>
          <w:rFonts w:ascii="Arial" w:hAnsi="Arial" w:cs="Arial"/>
        </w:rPr>
        <w:t>TUSCO</w:t>
      </w:r>
      <w:r w:rsidRPr="00DA70A9">
        <w:rPr>
          <w:rFonts w:ascii="Arial" w:hAnsi="Arial" w:cs="Arial"/>
        </w:rPr>
        <w:t xml:space="preserve"> provides accurate and reliable benchmarking without external controls, significantly improving quality control standards for transcriptome reconstruction using LRS.</w:t>
      </w:r>
    </w:p>
    <w:p w14:paraId="0D0062C0" w14:textId="21808479" w:rsidR="0000135E" w:rsidRPr="00DA70A9" w:rsidRDefault="0000135E" w:rsidP="006C7777">
      <w:pPr>
        <w:spacing w:before="100" w:beforeAutospacing="1" w:after="100" w:afterAutospacing="1"/>
        <w:rPr>
          <w:rFonts w:ascii="Arial" w:hAnsi="Arial" w:cs="Arial"/>
          <w:color w:val="C00000"/>
        </w:rPr>
      </w:pPr>
      <w:r w:rsidRPr="00DA70A9">
        <w:rPr>
          <w:rFonts w:ascii="Arial" w:hAnsi="Arial" w:cs="Arial"/>
          <w:color w:val="C00000"/>
        </w:rPr>
        <w:t>[</w:t>
      </w:r>
      <w:r w:rsidR="00E90255" w:rsidRPr="00DA70A9">
        <w:rPr>
          <w:rFonts w:ascii="Arial" w:hAnsi="Arial" w:cs="Arial"/>
          <w:color w:val="C00000"/>
        </w:rPr>
        <w:t>155</w:t>
      </w:r>
      <w:r w:rsidRPr="00DA70A9">
        <w:rPr>
          <w:rFonts w:ascii="Arial" w:hAnsi="Arial" w:cs="Arial"/>
          <w:color w:val="C00000"/>
        </w:rPr>
        <w:t xml:space="preserve"> words]</w:t>
      </w:r>
    </w:p>
    <w:p w14:paraId="7E95426C" w14:textId="6B8BF7B6" w:rsidR="00BA0520" w:rsidRPr="00DA70A9" w:rsidRDefault="00342F07" w:rsidP="006C7777">
      <w:pPr>
        <w:spacing w:before="100" w:beforeAutospacing="1" w:after="100" w:afterAutospacing="1"/>
        <w:rPr>
          <w:rFonts w:ascii="Arial" w:hAnsi="Arial" w:cs="Arial"/>
          <w:b/>
          <w:bCs/>
        </w:rPr>
      </w:pPr>
      <w:r w:rsidRPr="00DA70A9">
        <w:rPr>
          <w:rFonts w:ascii="Arial" w:hAnsi="Arial" w:cs="Arial"/>
          <w:b/>
          <w:bCs/>
        </w:rPr>
        <w:t>Introduction</w:t>
      </w:r>
    </w:p>
    <w:p w14:paraId="6A6E57A8" w14:textId="73169645" w:rsidR="00C64517" w:rsidRPr="00DA70A9" w:rsidRDefault="6A5042BD" w:rsidP="006C7777">
      <w:pPr>
        <w:spacing w:before="100" w:beforeAutospacing="1" w:after="100" w:afterAutospacing="1"/>
        <w:rPr>
          <w:rFonts w:ascii="Arial" w:hAnsi="Arial" w:cs="Arial"/>
        </w:rPr>
      </w:pPr>
      <w:r w:rsidRPr="00DA70A9">
        <w:rPr>
          <w:rFonts w:ascii="Arial" w:hAnsi="Arial" w:cs="Arial"/>
        </w:rPr>
        <w:t>Advances in long-read sequencing (LRS) technologies, such as Oxford Nanopore Technologies (ONT) and Pacific Biosciences (PacBio), have revolutionized transcriptomic studies by enabling the comprehensive profiling of full-length RNA molecules</w:t>
      </w:r>
      <w:r w:rsidR="31D2131B" w:rsidRPr="00DA70A9">
        <w:rPr>
          <w:rFonts w:ascii="Arial" w:hAnsi="Arial" w:cs="Arial"/>
        </w:rPr>
        <w:fldChar w:fldCharType="begin"/>
      </w:r>
      <w:r w:rsidR="31D2131B" w:rsidRPr="00DA70A9">
        <w:rPr>
          <w:rFonts w:ascii="Arial" w:hAnsi="Arial" w:cs="Arial"/>
        </w:rPr>
        <w:instrText xml:space="preserve"> ADDIN ZOTERO_ITEM CSL_CITATION {"citationID":"zfYV5iEg","properties":{"formattedCitation":"\\super 1\\nosupersub{}","plainCitation":"1","noteIndex":0},"citationItems":[{"id":1,"uris":["http://zotero.org/users/local/fy8HeEeu/items/JN7GUQTT"],"itemData":{"id":1,"type":"article-journal","abstract":"To large-scale projects and individual labs, long-read sequencing has delivered new vistas and long wish lists for this technology’s future.","container-title":"Nature Methods","DOI":"10.1038/s41592-022-01730-w","ISSN":"1548-7105","issue":"1","journalAbbreviation":"Nat Methods","language":"en","license":"2022 Springer Nature America, Inc.","note":"publisher: Nature Publishing Group","page":"6-11","source":"www.nature.com","title":"Method of the year: long-read sequencing","title-short":"Method of the year","volume":"20","author":[{"family":"Marx","given":"Vivien"}],"issued":{"date-parts":[["2023",1]]}}}],"schema":"https://github.com/citation-style-language/schema/raw/master/csl-citation.json"} </w:instrText>
      </w:r>
      <w:r w:rsidR="31D2131B" w:rsidRPr="00DA70A9">
        <w:rPr>
          <w:rFonts w:ascii="Arial" w:hAnsi="Arial" w:cs="Arial"/>
        </w:rPr>
        <w:fldChar w:fldCharType="separate"/>
      </w:r>
      <w:r w:rsidRPr="00DA70A9">
        <w:rPr>
          <w:rFonts w:ascii="Arial" w:hAnsi="Arial" w:cs="Arial"/>
          <w:vertAlign w:val="superscript"/>
        </w:rPr>
        <w:t>1</w:t>
      </w:r>
      <w:r w:rsidR="31D2131B" w:rsidRPr="00DA70A9">
        <w:rPr>
          <w:rFonts w:ascii="Arial" w:hAnsi="Arial" w:cs="Arial"/>
        </w:rPr>
        <w:fldChar w:fldCharType="end"/>
      </w:r>
      <w:r w:rsidRPr="00DA70A9">
        <w:rPr>
          <w:rFonts w:ascii="Arial" w:hAnsi="Arial" w:cs="Arial"/>
        </w:rPr>
        <w:t>. These emerging LRS platforms allow precise quantification of isoform diversity and in-depth characterization of alternative splicing at bulk</w:t>
      </w:r>
      <w:r w:rsidR="31D2131B" w:rsidRPr="00DA70A9">
        <w:rPr>
          <w:rFonts w:ascii="Arial" w:hAnsi="Arial" w:cs="Arial"/>
        </w:rPr>
        <w:fldChar w:fldCharType="begin"/>
      </w:r>
      <w:r w:rsidR="31D2131B" w:rsidRPr="00DA70A9">
        <w:rPr>
          <w:rFonts w:ascii="Arial" w:hAnsi="Arial" w:cs="Arial"/>
        </w:rPr>
        <w:instrText xml:space="preserve"> ADDIN ZOTERO_ITEM CSL_CITATION {"citationID":"7VRUisD5","properties":{"formattedCitation":"\\super 2,3\\nosupersub{}","plainCitation":"2,3","noteIndex":0},"citationItems":[{"id":6,"uris":["http://zotero.org/users/local/fy8HeEeu/items/R5KCJEQR"],"itemData":{"id":6,"type":"article-journal","abstract":"Most approaches to transcript quantification rely on fixed reference annotations; however, the transcriptome is dynamic and depending on the context, such static annotations contain inactive isoforms for some genes, whereas they are incomplete for others. Here we present Bambu, a method that performs machine-learning-based transcript discovery to enable quantification specific to the context of interest using long-read RNA-sequencing. To identify novel transcripts, Bambu estimates the novel discovery rate, which replaces arbitrary per-sample thresholds with a single, interpretable, precision-calibrated parameter. Bambu retains the full-length and unique read counts, enabling accurate quantification in presence of inactive isoforms. Compared to existing methods for transcript discovery, Bambu achieves greater precision without sacrificing sensitivity. We show that context-aware annotations improve quantification for both novel and known transcripts. We apply Bambu to quantify isoforms from repetitive HERVH-LTR7 retrotransposons in human embryonic stem cells, demonstrating the ability for context-specific transcript expression analysis.","container-title":"Nature Methods","DOI":"10.1038/s41592-023-01908-w","ISSN":"1548-7105","issue":"8","journalAbbreviation":"Nat Methods","language":"en","license":"2023 The Author(s), under exclusive licence to Springer Nature America, Inc.","note":"publisher: Nature Publishing Group","page":"1187-1195","source":"www.nature.com","title":"Context-aware transcript quantification from long-read RNA-seq data with Bambu","volume":"20","author":[{"family":"Chen","given":"Ying"},{"family":"Sim","given":"Andre"},{"family":"Wan","given":"Yuk Kei"},{"family":"Yeo","given":"Keith"},{"family":"Lee","given":"Joseph Jing Xian"},{"family":"Ling","given":"Min Hao"},{"family":"Love","given":"Michael I."},{"family":"Göke","given":"Jonathan"}],"issued":{"date-parts":[["2023",8]]}}},{"id":4,"uris":["http://zotero.org/users/local/fy8HeEeu/items/U2IPMVCV"],"itemData":{"id":4,"type":"article-journal","abstract":"Annotating newly sequenced genomes and determining alternative isoforms from long-read RNA data are complex and incompletely solved problems. Here we present IsoQuant—a computational tool using intron graphs that accurately reconstructs transcripts both with and without reference genome annotation. For novel transcript discovery, IsoQuant reduces the false-positive rate fivefold and 2.5-fold for Oxford Nanopore reference-based or reference-free mode, respectively. IsoQuant also improves performance for Pacific Biosciences data.","container-title":"Nature Biotechnology","DOI":"10.1038/s41587-022-01565-y","ISSN":"1546-1696","issue":"7","journalAbbreviation":"Nat Biotechnol","language":"en","license":"2023 The Author(s)","note":"publisher: Nature Publishing Group","page":"915-918","source":"www.nature.com","title":"Accurate isoform discovery with IsoQuant using long reads","volume":"41","author":[{"family":"Prjibelski","given":"Andrey D."},{"family":"Mikheenko","given":"Alla"},{"family":"Joglekar","given":"Anoushka"},{"family":"Smetanin","given":"Alexander"},{"family":"Jarroux","given":"Julien"},{"family":"Lapidus","given":"Alla L."},{"family":"Tilgner","given":"Hagen U."}],"issued":{"date-parts":[["2023",7]]}}}],"schema":"https://github.com/citation-style-language/schema/raw/master/csl-citation.json"} </w:instrText>
      </w:r>
      <w:r w:rsidR="31D2131B" w:rsidRPr="00DA70A9">
        <w:rPr>
          <w:rFonts w:ascii="Arial" w:hAnsi="Arial" w:cs="Arial"/>
        </w:rPr>
        <w:fldChar w:fldCharType="separate"/>
      </w:r>
      <w:r w:rsidRPr="00DA70A9">
        <w:rPr>
          <w:rFonts w:ascii="Arial" w:hAnsi="Arial" w:cs="Arial"/>
          <w:vertAlign w:val="superscript"/>
        </w:rPr>
        <w:t>2,3</w:t>
      </w:r>
      <w:r w:rsidR="31D2131B" w:rsidRPr="00DA70A9">
        <w:rPr>
          <w:rFonts w:ascii="Arial" w:hAnsi="Arial" w:cs="Arial"/>
        </w:rPr>
        <w:fldChar w:fldCharType="end"/>
      </w:r>
      <w:r w:rsidRPr="00DA70A9">
        <w:rPr>
          <w:rFonts w:ascii="Arial" w:hAnsi="Arial" w:cs="Arial"/>
        </w:rPr>
        <w:t xml:space="preserve"> and single-cell</w:t>
      </w:r>
      <w:r w:rsidR="31D2131B" w:rsidRPr="00DA70A9">
        <w:rPr>
          <w:rFonts w:ascii="Arial" w:hAnsi="Arial" w:cs="Arial"/>
        </w:rPr>
        <w:fldChar w:fldCharType="begin"/>
      </w:r>
      <w:r w:rsidR="31D2131B" w:rsidRPr="00DA70A9">
        <w:rPr>
          <w:rFonts w:ascii="Arial" w:hAnsi="Arial" w:cs="Arial"/>
        </w:rPr>
        <w:instrText xml:space="preserve"> ADDIN ZOTERO_ITEM CSL_CITATION {"citationID":"HhXfcmoN","properties":{"formattedCitation":"\\super 4,5\\nosupersub{}","plainCitation":"4,5","noteIndex":0},"citationItems":[{"id":10,"uris":["http://zotero.org/users/local/fy8HeEeu/items/IU9UFCP9"],"itemData":{"id":10,"type":"article-journal","abstract":"Here we describe single-cell corrected long-read sequencing (scCOLOR-seq), which enables error correction of barcode and unique molecular identifier oligonucleotide sequences and permits standalone cDNA nanopore sequencing of single cells. Barcodes and unique molecular identifiers are synthesized using dimeric nucleotide building blocks that allow error detection. We illustrate the use of the method for evaluating barcode assignment accuracy, differential isoform usage in myeloma cell lines, and fusion transcript detection in a sarcoma cell line.","container-title":"Nature Biotechnology","DOI":"10.1038/s41587-021-00965-w","ISSN":"1546-1696","issue":"12","journalAbbreviation":"Nat Biotechnol","language":"en","license":"2021 The Author(s)","note":"publisher: Nature Publishing Group","page":"1517-1520","source":"www.nature.com","title":"Nanopore sequencing of single-cell transcriptomes with scCOLOR-seq","volume":"39","author":[{"family":"Philpott","given":"Martin"},{"family":"Watson","given":"Jonathan"},{"family":"Thakurta","given":"Anjan"},{"family":"Brown","given":"Tom"},{"family":"Brown","given":"Tom"},{"family":"Oppermann","given":"Udo"},{"family":"Cribbs","given":"Adam P."}],"issued":{"date-parts":[["2021",12]]}}},{"id":8,"uris":["http://zotero.org/users/local/fy8HeEeu/items/ZFWP9ZI7"],"itemData":{"id":8,"type":"article-journal","abstract":"Accurate detection and quantification of mRNA isoforms from nanopore long-read sequencing remains challenged by technical noise, particularly in single cells. To address this, we introduce Isosceles, a computational toolkit that outperforms other methods in isoform detection sensitivity and quantification accuracy across single-cell, pseudo-bulk and bulk resolution levels, as demonstrated using synthetic and biologically-derived datasets. Here we show Isosceles improves the fidelity of single-cell transcriptome quantification at the isoform-level, and enables flexible downstream analysis. As a case study, we apply Isosceles, uncovering coordinated splicing within and between neuronal differentiation lineages. Isosceles is suitable to be applied in diverse biological systems, facilitating studies of cellular heterogeneity across biomedical research applications.","container-title":"Nature Communications","DOI":"10.1038/s41467-024-51584-3","ISSN":"2041-1723","issue":"1","journalAbbreviation":"Nat Commun","language":"en","license":"2024 The Author(s)","note":"publisher: Nature Publishing Group","page":"7316","source":"www.nature.com","title":"Accurate long-read transcript discovery and quantification at single-cell, pseudo-bulk and bulk resolution with Isosceles","volume":"15","author":[{"family":"Kabza","given":"Michal"},{"family":"Ritter","given":"Alexander"},{"family":"Byrne","given":"Ashley"},{"family":"Sereti","given":"Kostianna"},{"family":"Le","given":"Daniel"},{"family":"Stephenson","given":"William"},{"family":"Sterne-Weiler","given":"Timothy"}],"issued":{"date-parts":[["2024",8,25]]}}}],"schema":"https://github.com/citation-style-language/schema/raw/master/csl-citation.json"} </w:instrText>
      </w:r>
      <w:r w:rsidR="31D2131B" w:rsidRPr="00DA70A9">
        <w:rPr>
          <w:rFonts w:ascii="Arial" w:hAnsi="Arial" w:cs="Arial"/>
        </w:rPr>
        <w:fldChar w:fldCharType="separate"/>
      </w:r>
      <w:r w:rsidRPr="00DA70A9">
        <w:rPr>
          <w:rFonts w:ascii="Arial" w:hAnsi="Arial" w:cs="Arial"/>
          <w:vertAlign w:val="superscript"/>
        </w:rPr>
        <w:t>4,5</w:t>
      </w:r>
      <w:r w:rsidR="31D2131B" w:rsidRPr="00DA70A9">
        <w:rPr>
          <w:rFonts w:ascii="Arial" w:hAnsi="Arial" w:cs="Arial"/>
        </w:rPr>
        <w:fldChar w:fldCharType="end"/>
      </w:r>
      <w:r w:rsidRPr="00DA70A9">
        <w:rPr>
          <w:rFonts w:ascii="Arial" w:hAnsi="Arial" w:cs="Arial"/>
        </w:rPr>
        <w:t xml:space="preserve"> levels, tasks that short-read methods struggle to accomplish</w:t>
      </w:r>
      <w:r w:rsidR="31D2131B" w:rsidRPr="00DA70A9">
        <w:rPr>
          <w:rFonts w:ascii="Arial" w:hAnsi="Arial" w:cs="Arial"/>
        </w:rPr>
        <w:fldChar w:fldCharType="begin"/>
      </w:r>
      <w:r w:rsidR="31D2131B" w:rsidRPr="00DA70A9">
        <w:rPr>
          <w:rFonts w:ascii="Arial" w:hAnsi="Arial" w:cs="Arial"/>
        </w:rPr>
        <w:instrText xml:space="preserve"> ADDIN ZOTERO_ITEM CSL_CITATION {"citationID":"zLmj7Xhp","properties":{"formattedCitation":"\\super 6\\nosupersub{}","plainCitation":"6","noteIndex":0},"citationItems":[{"id":124,"uris":["http://zotero.org/users/local/fy8HeEeu/items/5VCR847G"],"itemData":{"id":124,"type":"article-journal","abstract":"RNA-sequencing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Biol","language":"en","page":"13","source":"Springer Link","title":"A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L."},{"family":"Zhang","given":"Xuegong"},{"family":"Mortazavi","given":"Ali"}],"issued":{"date-parts":[["2016",1,26]]}}}],"schema":"https://github.com/citation-style-language/schema/raw/master/csl-citation.json"} </w:instrText>
      </w:r>
      <w:r w:rsidR="31D2131B" w:rsidRPr="00DA70A9">
        <w:rPr>
          <w:rFonts w:ascii="Arial" w:hAnsi="Arial" w:cs="Arial"/>
        </w:rPr>
        <w:fldChar w:fldCharType="separate"/>
      </w:r>
      <w:r w:rsidRPr="00DA70A9">
        <w:rPr>
          <w:rFonts w:ascii="Arial" w:hAnsi="Arial" w:cs="Arial"/>
          <w:vertAlign w:val="superscript"/>
        </w:rPr>
        <w:t>6</w:t>
      </w:r>
      <w:r w:rsidR="31D2131B" w:rsidRPr="00DA70A9">
        <w:rPr>
          <w:rFonts w:ascii="Arial" w:hAnsi="Arial" w:cs="Arial"/>
        </w:rPr>
        <w:fldChar w:fldCharType="end"/>
      </w:r>
      <w:r w:rsidRPr="00DA70A9">
        <w:rPr>
          <w:rFonts w:ascii="Arial" w:hAnsi="Arial" w:cs="Arial"/>
        </w:rPr>
        <w:t xml:space="preserve"> (reviewed in </w:t>
      </w:r>
      <w:r w:rsidR="31D2131B" w:rsidRPr="00DA70A9">
        <w:rPr>
          <w:rFonts w:ascii="Arial" w:hAnsi="Arial" w:cs="Arial"/>
        </w:rPr>
        <w:fldChar w:fldCharType="begin"/>
      </w:r>
      <w:r w:rsidR="31D2131B" w:rsidRPr="00DA70A9">
        <w:rPr>
          <w:rFonts w:ascii="Arial" w:hAnsi="Arial" w:cs="Arial"/>
        </w:rPr>
        <w:instrText xml:space="preserve"> ADDIN ZOTERO_ITEM CSL_CITATION {"citationID":"HwvEtDyi","properties":{"formattedCitation":"\\super 7\\nosupersub{}","plainCitation":"7","noteIndex":0},"citationItems":[{"id":145,"uris":["http://zotero.org/users/local/fy8HeEeu/items/BW4A2CRE"],"itemData":{"id":145,"type":"article-journal","abstract":"Transcriptome sequencing revolutionized the analysis of gene expression, providing an unbiased approach to gene detection and quantification that enabled the discovery of novel isoforms, alternative splicing events and fusion transcripts. However, although short-read sequencing technologies have surpassed the limited dynamic range of previous technologies such as microarrays, they have limitations, for example, in resolving full-length transcripts and complex isoforms. Over the past 5 years, long-read sequencing technologies have matured considerably, with improvements in instrumentation and analytical methods, enabling their application to RNA sequencing (RNA-seq). Benchmarking studies are beginning to identify the strengths and limitations of long-read RNA-seq, although there remains a need for comprehensive resources to guide newcomers through the intricacies of this approach. In this Review, we provide a comprehensive overview of the long-read RNA-seq workflow, from library preparation and sequencing challenges to core data processing, downstream analyses and emerging developments. We present an extensive inventory of experimental and analytical methods and discuss current challenges and prospects.","container-title":"Nature Reviews Genetics","DOI":"10.1038/s41576-025-00828-z","ISSN":"1471-0064","journalAbbreviation":"Nat Rev Genet","language":"en","license":"2025 Springer Nature Limited","note":"publisher: Nature Publishing Group","page":"1-21","source":"www.nature.com","title":"Transcriptomics in the era of long-read sequencing","author":[{"family":"Monzó","given":"Carolina"},{"family":"Liu","given":"Tianyuan"},{"family":"Conesa","given":"Ana"}],"issued":{"date-parts":[["2025",3,28]]}}}],"schema":"https://github.com/citation-style-language/schema/raw/master/csl-citation.json"} </w:instrText>
      </w:r>
      <w:r w:rsidR="31D2131B" w:rsidRPr="00DA70A9">
        <w:rPr>
          <w:rFonts w:ascii="Arial" w:hAnsi="Arial" w:cs="Arial"/>
        </w:rPr>
        <w:fldChar w:fldCharType="separate"/>
      </w:r>
      <w:r w:rsidRPr="00DA70A9">
        <w:rPr>
          <w:rFonts w:ascii="Arial" w:hAnsi="Arial" w:cs="Arial"/>
          <w:vertAlign w:val="superscript"/>
        </w:rPr>
        <w:t>7</w:t>
      </w:r>
      <w:r w:rsidR="31D2131B" w:rsidRPr="00DA70A9">
        <w:rPr>
          <w:rFonts w:ascii="Arial" w:hAnsi="Arial" w:cs="Arial"/>
        </w:rPr>
        <w:fldChar w:fldCharType="end"/>
      </w:r>
      <w:r w:rsidRPr="00DA70A9">
        <w:rPr>
          <w:rFonts w:ascii="Arial" w:hAnsi="Arial" w:cs="Arial"/>
        </w:rPr>
        <w:t>). Despite these breakthroughs, the Long-read RNA-Seq Genome Annotation Assessment Project (LRGASP) Consortium and other benchmarking efforts</w:t>
      </w:r>
      <w:r w:rsidR="31D2131B" w:rsidRPr="00DA70A9">
        <w:rPr>
          <w:rFonts w:ascii="Arial" w:hAnsi="Arial" w:cs="Arial"/>
        </w:rPr>
        <w:fldChar w:fldCharType="begin"/>
      </w:r>
      <w:r w:rsidR="31D2131B" w:rsidRPr="00DA70A9">
        <w:rPr>
          <w:rFonts w:ascii="Arial" w:hAnsi="Arial" w:cs="Arial"/>
        </w:rPr>
        <w:instrText xml:space="preserve"> ADDIN ZOTERO_ITEM CSL_CITATION {"citationID":"QDs3nODp","properties":{"unsorted":true,"formattedCitation":"\\super 8\\uc0\\u8211{}12\\nosupersub{}","plainCitation":"8–12","noteIndex":0},"citationItems":[{"id":156,"uris":["http://zotero.org/users/local/fy8HeEeu/items/HHG7P6A2"],"itemData":{"id":156,"type":"article","abstract":"Background: Given the demonstrated utility of Third Generation Sequencing [Pacific Biosciences (PacBio) and Oxford Nanopore Technologies (ONT)] long reads in many studies, a comprehensive analysis and comparison of their data quality and applications is in high demand. Methods: Based on the transcriptome sequencing data from human embryonic stem cells, we analyzed multiple data features of PacBio and ONT, including error pattern, length, mappability and technical improvements over previous platforms. We also evaluated their application to transcriptome analyses, such as isoform identification and quantification and characterization of transcriptome complexity, by comparing the performance of size-selected PacBio, non-size-selected ONT and their corresponding Hybrid-Seq strategies (PacBio+Illumina and ONT+Illumina). Results: PacBio shows overall better data quality, while ONT provides a higher yield. As with data quality, PacBio performs marginally better than ONT in most aspects for both long reads only and Hybrid-Seq strategies in transcriptome analysis. In addition, Hybrid-Seq shows superior performance over long reads only in most transcriptome analyses. Conclusions: Both PacBio and ONT sequencing are suitable for full-length single-molecule transcriptome analysis. As this first use of ONT reads in a Hybrid-Seq analysis has shown, both PacBio and ONT can benefit from a combined Illumina strategy. The tools and analytical methods developed here provide a resource for future applications and evaluations of these rapidly-changing technologies.","DOI":"10.12688/f1000research.10571.2","language":"en","license":"https://creativecommons.org/licenses/by/4.0/","number":"6:100","publisher":"F1000Research","source":"f1000research.com","title":"Comprehensive comparison of Pacific Biosciences and Oxford Nanopore Technologies and their applications to transcriptome analysis","URL":"https://f1000research.com/articles/6-100","author":[{"family":"Weirather","given":"Jason L."},{"family":"Cesare","given":"Mariateresa","dropping-particle":"de"},{"family":"Wang","given":"Yunhao"},{"family":"Piazza","given":"Paolo"},{"family":"Sebastiano","given":"Vittorio"},{"family":"Wang","given":"Xiu-Jie"},{"family":"Buck","given":"David"},{"family":"Au","given":"Kin Fai"}],"accessed":{"date-parts":[["2025",4,7]]},"issued":{"date-parts":[["2017",6,19]]}}},{"id":152,"uris":["http://zotero.org/users/local/fy8HeEeu/items/UQ9LAY7D"],"itemData":{"id":152,"type":"article-journal","abstract":"A platform for highly parallel direct sequencing of native RNA strands was recently described by Oxford Nanopore Technologies, but despite initial efforts it remains crucial to further investigate the technology for quantification of complex transcriptomes. Here we undertake native RNA sequencing of polyA + RNA from two human cell lines, analysing ~5.2 million aligned native RNA reads. To enable informative comparisons, we also perform relevant ONT direct cDNA- and Illumina-sequencing. We find that while native RNA sequencing does enable some of the anticipated advantages, key unexpected aspects currently hamper its performance, most notably the quite frequent inability to obtain full-length transcripts from single reads, as well as difficulties to unambiguously infer their true transcript of origin. While characterising issues that need to be addressed when investigating more complex transcriptomes, our study highlights that with some defined improvements, native RNA sequencing could be an important addition to the mammalian transcriptomics toolbox.","container-title":"Nature Communications","DOI":"10.1038/s41467-019-11272-z","ISSN":"2041-1723","issue":"1","journalAbbreviation":"Nat Commun","language":"en","license":"2019 The Author(s)","note":"publisher: Nature Publishing Group","page":"3359","source":"www.nature.com","title":"A comprehensive examination of Nanopore native RNA sequencing for characterization of complex transcriptomes","volume":"10","author":[{"family":"Soneson","given":"Charlotte"},{"family":"Yao","given":"Yao"},{"family":"Bratus-Neuenschwander","given":"Anna"},{"family":"Patrignani","given":"Andrea"},{"family":"Robinson","given":"Mark D."},{"family":"Hussain","given":"Shobbir"}],"issued":{"date-parts":[["2019",7,31]]}}},{"id":160,"uris":["http://zotero.org/users/local/fy8HeEeu/items/7SVW8DH3"],"itemData":{"id":160,"type":"article-journal","abstract":"The lack of benchmark data sets with inbuilt ground-truth makes it challenging to compare the performance of existing long-read isoform detection and differential expression analysis workflows. Here, we present a benchmark experiment using two human lung adenocarcinoma cell lines that were each profiled in triplicate together with synthetic, spliced, spike-in RNAs (sequins). Samples were deeply sequenced on both Illumina short-read and Oxford Nanopore Technologies long-read platforms. Alongside the ground-truth available via the sequins, we created in silico mixture samples to allow performance assessment in the absence of true positives or true negatives. Our results show that StringTie2 and bambu outperformed other tools from the six isoform detection tools tested, DESeq2, edgeR and limma-voom were best among the five differential transcript expression tools tested and there was no clear front-runner for performing differential transcript usage analysis between the five tools compared, which suggests further methods development is needed for this application.","container-title":"Nature Methods","DOI":"10.1038/s41592-023-02026-3","ISSN":"1548-7105","issue":"11","journalAbbreviation":"Nat Methods","language":"en","license":"2023 The Author(s), under exclusive licence to Springer Nature America, Inc.","note":"publisher: Nature Publishing Group","page":"1810-1821","source":"www.nature.com","title":"Benchmarking long-read RNA-sequencing analysis tools using in silico mixtures","volume":"20","author":[{"family":"Dong","given":"Xueyi"},{"family":"Du","given":"Mei R. M."},{"family":"Gouil","given":"Quentin"},{"family":"Tian","given":"Luyi"},{"family":"Jabbari","given":"Jafar S."},{"family":"Bowden","given":"Rory"},{"family":"Baldoni","given":"Pedro L."},{"family":"Chen","given":"Yunshun"},{"family":"Smyth","given":"Gordon K."},{"family":"Amarasinghe","given":"Shanika L."},{"family":"Law","given":"Charity W."},{"family":"Ritchie","given":"Matthew E."}],"issued":{"date-parts":[["2023",11]]}}},{"id":150,"uris":["http://zotero.org/users/local/fy8HeEeu/items/XCASU5M8"],"itemData":{"id":150,"type":"article-journal","abstract":"The advancement of Long-Read Sequencing (LRS) techniques has significantly increased the length of sequencing to several kilobases, thereby facilitating the identification of alternative splicing events and isoform expressions. Recently, numerous computational tools for isoform detection using long-read sequencing data have been developed. Nevertheless, there remains a deficiency in comparative studies that systemically evaluate the performance of these tools, which are implemented with different algorithms, under various simulations that encompass potential influencing factors. In this study, we conducted a benchmark analysis of thirteen methods implemented in nine tools capable of identifying isoform structures from long-read RNA-seq data. We evaluated their performances using simulated data, which represented diverse sequencing platforms generated by an in-house simulator, RNA sequins (sequencing spike-ins) data, as well as experimental data. Our findings demonstrate IsoQuant as a highly effective tool for isoform detection with LRS, with Bambu and StringTie2 also exhibiting strong performance. These results offer valuable guidance for future research on alternative splicing analysis and the ongoing improvement of tools for isoform detection using LRS data.","container-title":"Nature Communications","DOI":"10.1038/s41467-024-48117-3","ISSN":"2041-1723","issue":"1","journalAbbreviation":"Nat Commun","language":"en","license":"2024 The Author(s)","note":"publisher: Nature Publishing Group","page":"3972","source":"www.nature.com","title":"Comprehensive assessment of mRNA isoform detection methods for long-read sequencing data","volume":"15","author":[{"family":"Su","given":"Yaqi"},{"family":"Yu","given":"Zhejian"},{"family":"Jin","given":"Siqian"},{"family":"Ai","given":"Zhipeng"},{"family":"Yuan","given":"Ruihong"},{"family":"Chen","given":"Xinyi"},{"family":"Xue","given":"Ziwei"},{"family":"Guo","given":"Yixin"},{"family":"Chen","given":"Di"},{"family":"Liang","given":"Hongqing"},{"family":"Liu","given":"Zuozhu"},{"family":"Liu","given":"Wanlu"}],"issued":{"date-parts":[["2024",5,10]]}}},{"id":148,"uris":["http://zotero.org/users/local/fy8HeEeu/items/TJYYN6GF"],"itemData":{"id":148,"type":"article-journal","abstract":"The human genome contains instructions to transcribe more than 200,000 RNAs. However, many RNA transcripts are generated from the same gene, resulting in alternative isoforms that are highly similar and that remain difficult to quantify. To evaluate the ability to study RNA transcript expression, we profiled seven human cell lines with five different RNA-sequencing protocols, including short-read cDNA, Nanopore long-read direct RNA, amplification-free direct cDNA and PCR-amplified cDNA sequencing, and PacBio IsoSeq, with multiple spike-in controls, and additional transcriptome-wide N6-methyladenosine profiling data. We describe differences in read length, coverage, throughput and transcript expression, reporting that long-read RNA sequencing more robustly identifies major isoforms. We illustrate the value of the SG-NEx data to identify alternative isoforms, novel transcripts, fusion transcripts and N6-methyladenosine RNA modifications. Together, the SG-NEx data provide a comprehensive resource enabling the development and benchmarking of computational methods for profiling complex transcriptional events at isoform-level resolution.","container-title":"Nature Methods","DOI":"10.1038/s41592-025-02623-4","ISSN":"1548-7105","journalAbbreviation":"Nat Methods","language":"en","license":"2025 The Author(s)","note":"publisher: Nature Publishing Group","page":"1-12","source":"www.nature.com","title":"A systematic benchmark of Nanopore long-read RNA sequencing for transcript-level analysis in human cell lines","author":[{"family":"Chen","given":"Ying"},{"family":"Davidson","given":"Nadia M."},{"family":"Wan","given":"Yuk Kei"},{"family":"Yao","given":"Fei"},{"family":"Su","given":"Yan"},{"family":"Gamaarachchi","given":"Hasindu"},{"family":"Sim","given":"Andre"},{"family":"Patel","given":"Harshil"},{"family":"Low","given":"Hwee Meng"},{"family":"Hendra","given":"Christopher"},{"family":"Wratten","given":"Laura"},{"family":"Hakkaart","given":"Christopher"},{"family":"Sawyer","given":"Chelsea"},{"family":"Iakovleva","given":"Viktoriia"},{"family":"Lee","given":"Puay Leng"},{"family":"Xin","given":"Lixia"},{"family":"Ng","given":"Hui En Vanessa"},{"family":"Loo","given":"Jia Min"},{"family":"Ong","given":"Xuewen"},{"family":"Ng","given":"Hui Qi Amanda"},{"family":"Wang","given":"Jiaxu"},{"family":"Koh","given":"Wei Qian Casslynn"},{"family":"Poon","given":"Suk Yeah Polly"},{"family":"Stanojevic","given":"Dominik"},{"family":"Tran","given":"Hoang-Dai"},{"family":"Lim","given":"Kok Hao Edwin"},{"family":"Toh","given":"Shen Yon"},{"family":"Ewels","given":"Philip Andrew"},{"family":"Ng","given":"Huck-Hui"},{"family":"Iyer","given":"N. Gopalakrishna"},{"family":"Thiery","given":"Alexandre"},{"family":"Chng","given":"Wee Joo"},{"family":"Chen","given":"Leilei"},{"family":"DasGupta","given":"Ramanuj"},{"family":"Sikic","given":"Mile"},{"family":"Chan","given":"Yun-Shen"},{"family":"Tan","given":"Boon Ooi Patrick"},{"family":"Wan","given":"Yue"},{"family":"Tam","given":"Wai Leong"},{"family":"Yu","given":"Qiang"},{"family":"Khor","given":"Chiea Chuan"},{"family":"Wüstefeld","given":"Torsten"},{"family":"Lezhava","given":"Alexander"},{"family":"Pratanwanich","given":"Ploy N."},{"family":"Love","given":"Michael I."},{"family":"Goh","given":"Wee Siong Sho"},{"family":"Ng","given":"Sarah B."},{"family":"Oshlack","given":"Alicia"},{"family":"Göke","given":"Jonathan"}],"issued":{"date-parts":[["2025",3,13]]}}}],"schema":"https://github.com/citation-style-language/schema/raw/master/csl-citation.json"} </w:instrText>
      </w:r>
      <w:r w:rsidR="31D2131B" w:rsidRPr="00DA70A9">
        <w:rPr>
          <w:rFonts w:ascii="Arial" w:hAnsi="Arial" w:cs="Arial"/>
        </w:rPr>
        <w:fldChar w:fldCharType="separate"/>
      </w:r>
      <w:r w:rsidRPr="00DA70A9">
        <w:rPr>
          <w:rFonts w:ascii="Arial" w:hAnsi="Arial" w:cs="Arial"/>
          <w:vertAlign w:val="superscript"/>
        </w:rPr>
        <w:t>8–12</w:t>
      </w:r>
      <w:r w:rsidR="31D2131B" w:rsidRPr="00DA70A9">
        <w:rPr>
          <w:rFonts w:ascii="Arial" w:hAnsi="Arial" w:cs="Arial"/>
        </w:rPr>
        <w:fldChar w:fldCharType="end"/>
      </w:r>
      <w:r w:rsidRPr="00DA70A9">
        <w:rPr>
          <w:rFonts w:ascii="Arial" w:hAnsi="Arial" w:cs="Arial"/>
        </w:rPr>
        <w:t xml:space="preserve"> </w:t>
      </w:r>
      <w:commentRangeStart w:id="2"/>
      <w:r w:rsidRPr="00DA70A9">
        <w:rPr>
          <w:rFonts w:ascii="Arial" w:hAnsi="Arial" w:cs="Arial"/>
        </w:rPr>
        <w:t xml:space="preserve">have </w:t>
      </w:r>
      <w:commentRangeEnd w:id="2"/>
      <w:r w:rsidR="31D2131B" w:rsidRPr="00DA70A9">
        <w:rPr>
          <w:rStyle w:val="CommentReference"/>
          <w:rFonts w:ascii="Arial" w:hAnsi="Arial" w:cs="Arial"/>
          <w:sz w:val="20"/>
          <w:szCs w:val="20"/>
        </w:rPr>
        <w:commentReference w:id="2"/>
      </w:r>
      <w:r w:rsidRPr="00DA70A9">
        <w:rPr>
          <w:rFonts w:ascii="Arial" w:hAnsi="Arial" w:cs="Arial"/>
        </w:rPr>
        <w:t>shown that transcript identification, particularly the accurate detection of novel isoforms absent from current annotations</w:t>
      </w:r>
      <w:r w:rsidR="00181D8D">
        <w:rPr>
          <w:rFonts w:ascii="Arial" w:hAnsi="Arial" w:cs="Arial"/>
        </w:rPr>
        <w:t>,</w:t>
      </w:r>
      <w:r w:rsidRPr="00DA70A9">
        <w:rPr>
          <w:rFonts w:ascii="Arial" w:hAnsi="Arial" w:cs="Arial"/>
        </w:rPr>
        <w:t xml:space="preserve"> remain</w:t>
      </w:r>
      <w:r w:rsidR="007F7019">
        <w:rPr>
          <w:rFonts w:ascii="Arial" w:hAnsi="Arial" w:cs="Arial"/>
        </w:rPr>
        <w:t>s</w:t>
      </w:r>
      <w:r w:rsidRPr="00DA70A9">
        <w:rPr>
          <w:rFonts w:ascii="Arial" w:hAnsi="Arial" w:cs="Arial"/>
        </w:rPr>
        <w:t xml:space="preserve"> challenging. Factors such as sample quality, library preparation, the RNA capture by the instrument, sequencing errors, </w:t>
      </w:r>
      <w:commentRangeStart w:id="3"/>
      <w:r w:rsidRPr="00DA70A9">
        <w:rPr>
          <w:rFonts w:ascii="Arial" w:hAnsi="Arial" w:cs="Arial"/>
        </w:rPr>
        <w:t xml:space="preserve">as </w:t>
      </w:r>
      <w:commentRangeEnd w:id="3"/>
      <w:r w:rsidR="31D2131B" w:rsidRPr="00DA70A9">
        <w:rPr>
          <w:rStyle w:val="CommentReference"/>
          <w:rFonts w:ascii="Arial" w:hAnsi="Arial" w:cs="Arial"/>
          <w:sz w:val="20"/>
          <w:szCs w:val="20"/>
        </w:rPr>
        <w:commentReference w:id="3"/>
      </w:r>
      <w:r w:rsidRPr="00DA70A9">
        <w:rPr>
          <w:rFonts w:ascii="Arial" w:hAnsi="Arial" w:cs="Arial"/>
        </w:rPr>
        <w:t xml:space="preserve">well as processing choices of the analysis method of choice may introduce biases and compromise the accuracy of transcript calls. This has motivated the development of tools and strategies for the </w:t>
      </w:r>
      <w:proofErr w:type="spellStart"/>
      <w:r w:rsidRPr="00DA70A9">
        <w:rPr>
          <w:rFonts w:ascii="Arial" w:hAnsi="Arial" w:cs="Arial"/>
        </w:rPr>
        <w:t>qualit</w:t>
      </w:r>
      <w:r w:rsidR="00823C67">
        <w:rPr>
          <w:rFonts w:ascii="Arial" w:hAnsi="Arial" w:cs="Arial"/>
        </w:rPr>
        <w:t>v</w:t>
      </w:r>
      <w:r w:rsidRPr="00DA70A9">
        <w:rPr>
          <w:rFonts w:ascii="Arial" w:hAnsi="Arial" w:cs="Arial"/>
        </w:rPr>
        <w:t>y</w:t>
      </w:r>
      <w:proofErr w:type="spellEnd"/>
      <w:r w:rsidRPr="00DA70A9">
        <w:rPr>
          <w:rFonts w:ascii="Arial" w:hAnsi="Arial" w:cs="Arial"/>
        </w:rPr>
        <w:t xml:space="preserve"> evaluation of long-read transcriptomics data.</w:t>
      </w:r>
    </w:p>
    <w:p w14:paraId="6BAAD485" w14:textId="00790C2B" w:rsidR="00C64517" w:rsidRPr="00DA70A9" w:rsidRDefault="00C64517" w:rsidP="006C7777">
      <w:pPr>
        <w:rPr>
          <w:rFonts w:ascii="Arial" w:hAnsi="Arial" w:cs="Arial"/>
        </w:rPr>
      </w:pPr>
      <w:r w:rsidRPr="00DA70A9">
        <w:rPr>
          <w:rFonts w:ascii="Arial" w:hAnsi="Arial" w:cs="Arial"/>
        </w:rPr>
        <w:lastRenderedPageBreak/>
        <w:t>Comprehensive quality control (QC) is critical for identifying potential biases and technical artifacts in LRS data. Read-level QC tools, such as LongQC</w:t>
      </w:r>
      <w:r w:rsidR="0055077F" w:rsidRPr="00DA70A9">
        <w:rPr>
          <w:rFonts w:ascii="Arial" w:hAnsi="Arial" w:cs="Arial"/>
        </w:rPr>
        <w:fldChar w:fldCharType="begin"/>
      </w:r>
      <w:r w:rsidR="005215CB" w:rsidRPr="00DA70A9">
        <w:rPr>
          <w:rFonts w:ascii="Arial" w:hAnsi="Arial" w:cs="Arial"/>
        </w:rPr>
        <w:instrText xml:space="preserve"> ADDIN ZOTERO_ITEM CSL_CITATION {"citationID":"Z3ZYuo4T","properties":{"formattedCitation":"\\super 13\\nosupersub{}","plainCitation":"13","noteIndex":0},"citationItems":[{"id":12,"uris":["http://zotero.org/users/local/fy8HeEeu/items/SU6CPI5Y"],"itemData":{"id":12,"type":"article-journal","abstract":"We propose LongQC as an easy and automated quality control tool for genomic datasets generated by third generation sequencing (TGS) technologies such as Oxford Nanopore technologies (ONT) and SMRT sequencing from Pacific Bioscience (PacBio). Key statistics were optimized for long read data, and LongQC covers all major TGS platforms. LongQC processes and visualizes those statistics automatically and quickly.","container-title":"G3: Genes|Genomes|Genetics","DOI":"10.1534/g3.119.400864","ISSN":"2160-1836","issue":"4","journalAbbreviation":"G3 (Bethesda)","note":"PMID: 32041730\nPMCID: PMC7144081","page":"1193-1196","source":"PubMed Central","title":"LongQC: A Quality Control Tool for Third Generation Sequencing Long Read Data","title-short":"LongQC","volume":"10","author":[{"family":"Fukasawa","given":"Yoshinori"},{"family":"Ermini","given":"Luca"},{"family":"Wang","given":"Hai"},{"family":"Carty","given":"Karen"},{"family":"Cheung","given":"Ming-Sin"}],"issued":{"date-parts":[["2020",2,10]]}}}],"schema":"https://github.com/citation-style-language/schema/raw/master/csl-citation.json"} </w:instrText>
      </w:r>
      <w:r w:rsidR="0055077F" w:rsidRPr="00DA70A9">
        <w:rPr>
          <w:rFonts w:ascii="Arial" w:hAnsi="Arial" w:cs="Arial"/>
        </w:rPr>
        <w:fldChar w:fldCharType="separate"/>
      </w:r>
      <w:r w:rsidR="005215CB" w:rsidRPr="00DA70A9">
        <w:rPr>
          <w:rFonts w:ascii="Arial" w:hAnsi="Arial" w:cs="Arial"/>
          <w:vertAlign w:val="superscript"/>
        </w:rPr>
        <w:t>13</w:t>
      </w:r>
      <w:r w:rsidR="0055077F" w:rsidRPr="00DA70A9">
        <w:rPr>
          <w:rFonts w:ascii="Arial" w:hAnsi="Arial" w:cs="Arial"/>
        </w:rPr>
        <w:fldChar w:fldCharType="end"/>
      </w:r>
      <w:r w:rsidRPr="00DA70A9">
        <w:rPr>
          <w:rFonts w:ascii="Arial" w:hAnsi="Arial" w:cs="Arial"/>
        </w:rPr>
        <w:t xml:space="preserve">, </w:t>
      </w:r>
      <w:proofErr w:type="spellStart"/>
      <w:r w:rsidRPr="00DA70A9">
        <w:rPr>
          <w:rFonts w:ascii="Arial" w:hAnsi="Arial" w:cs="Arial"/>
        </w:rPr>
        <w:t>MinKnow</w:t>
      </w:r>
      <w:proofErr w:type="spellEnd"/>
      <w:r w:rsidR="000904BC" w:rsidRPr="00DA70A9">
        <w:rPr>
          <w:rFonts w:ascii="Arial" w:hAnsi="Arial" w:cs="Arial"/>
        </w:rPr>
        <w:t xml:space="preserve"> (https://github.com/nanoporetech/minknow_api)</w:t>
      </w:r>
      <w:r w:rsidRPr="00DA70A9">
        <w:rPr>
          <w:rFonts w:ascii="Arial" w:hAnsi="Arial" w:cs="Arial"/>
        </w:rPr>
        <w:t>, SQANTI-reads</w:t>
      </w:r>
      <w:r w:rsidR="00FC7B92" w:rsidRPr="00DA70A9">
        <w:rPr>
          <w:rFonts w:ascii="Arial" w:hAnsi="Arial" w:cs="Arial"/>
        </w:rPr>
        <w:fldChar w:fldCharType="begin"/>
      </w:r>
      <w:r w:rsidR="005215CB" w:rsidRPr="00DA70A9">
        <w:rPr>
          <w:rFonts w:ascii="Arial" w:hAnsi="Arial" w:cs="Arial"/>
        </w:rPr>
        <w:instrText xml:space="preserve"> ADDIN ZOTERO_ITEM CSL_CITATION {"citationID":"UkJpTZwZ","properties":{"formattedCitation":"\\super 14\\nosupersub{}","plainCitation":"14","noteIndex":0},"citationItems":[{"id":15,"uris":["http://zotero.org/users/local/fy8HeEeu/items/E37FMP2B"],"itemData":{"id":15,"type":"article-journal","abstract":"SQANTI-reads leverages SQANTI3, a tool for the analysis of the quality of transcript models, to develop a read-level quality control framework for replicated long-read RNA-seq experiments. The number and distribution of reads, as well as the number and distribution of unique junction chains (transcript splicing patterns), in SQANTI3 structural categories are informative of raw data quality. Multi-sample visualizations of QC metrics are presented by experimental design factors to identify outliers. We introduce new metrics for 1) the identification of potentially under-annotated genes and putative novel transcripts and for 2) quantifying variation in junction donors and acceptors. We applied SQANTI-reads to two different datasets, a Drosophila developmental experiment and a multi-platform dataset from the LRGASP project and demonstrate that the tool effectively reveals the impact of read coverage on data quality, and readily identifies strong and weak splicing sites. SQANTI-reads is open source and available for download at GitHub.","container-title":"bioRxiv","DOI":"10.1101/2024.08.23.609463","ISSN":"2692-8205","journalAbbreviation":"bioRxiv","note":"PMID: 39229095\nPMCID: PMC11370609","page":"2024.08.23.609463","source":"PubMed Central","title":"SQANTI-reads: a tool for the quality assessment of long read data in multi-sample lrRNA-seq experiments","title-short":"SQANTI-reads","author":[{"family":"Keil","given":"Netanya"},{"family":"Monzó","given":"Carolina"},{"family":"McIntyre","given":"Lauren"},{"family":"Conesa","given":"Ana"}],"issued":{"date-parts":[["2024",9,17]]}}}],"schema":"https://github.com/citation-style-language/schema/raw/master/csl-citation.json"} </w:instrText>
      </w:r>
      <w:r w:rsidR="00FC7B92" w:rsidRPr="00DA70A9">
        <w:rPr>
          <w:rFonts w:ascii="Arial" w:hAnsi="Arial" w:cs="Arial"/>
        </w:rPr>
        <w:fldChar w:fldCharType="separate"/>
      </w:r>
      <w:r w:rsidR="005215CB" w:rsidRPr="00DA70A9">
        <w:rPr>
          <w:rFonts w:ascii="Arial" w:hAnsi="Arial" w:cs="Arial"/>
          <w:vertAlign w:val="superscript"/>
        </w:rPr>
        <w:t>14</w:t>
      </w:r>
      <w:r w:rsidR="00FC7B92" w:rsidRPr="00DA70A9">
        <w:rPr>
          <w:rFonts w:ascii="Arial" w:hAnsi="Arial" w:cs="Arial"/>
        </w:rPr>
        <w:fldChar w:fldCharType="end"/>
      </w:r>
      <w:r w:rsidRPr="00DA70A9">
        <w:rPr>
          <w:rFonts w:ascii="Arial" w:hAnsi="Arial" w:cs="Arial"/>
        </w:rPr>
        <w:t xml:space="preserve">, and </w:t>
      </w:r>
      <w:commentRangeStart w:id="4"/>
      <w:proofErr w:type="spellStart"/>
      <w:r w:rsidRPr="00DA70A9">
        <w:rPr>
          <w:rFonts w:ascii="Arial" w:hAnsi="Arial" w:cs="Arial"/>
        </w:rPr>
        <w:t>PycoQC</w:t>
      </w:r>
      <w:proofErr w:type="spellEnd"/>
      <w:r w:rsidR="00AA260D" w:rsidRPr="00DA70A9">
        <w:rPr>
          <w:rFonts w:ascii="Arial" w:hAnsi="Arial" w:cs="Arial"/>
        </w:rPr>
        <w:t xml:space="preserve"> </w:t>
      </w:r>
      <w:commentRangeEnd w:id="4"/>
      <w:r w:rsidRPr="00DA70A9">
        <w:rPr>
          <w:rStyle w:val="CommentReference"/>
          <w:rFonts w:ascii="Arial" w:hAnsi="Arial" w:cs="Arial"/>
          <w:sz w:val="20"/>
          <w:szCs w:val="20"/>
        </w:rPr>
        <w:commentReference w:id="4"/>
      </w:r>
      <w:r w:rsidR="00AA260D" w:rsidRPr="00DA70A9">
        <w:rPr>
          <w:rFonts w:ascii="Arial" w:hAnsi="Arial" w:cs="Arial"/>
        </w:rPr>
        <w:t>(https://github.com/a-slide/pycoQC)</w:t>
      </w:r>
      <w:r w:rsidR="006C06E3" w:rsidRPr="00DA70A9">
        <w:rPr>
          <w:rFonts w:ascii="Arial" w:hAnsi="Arial" w:cs="Arial"/>
        </w:rPr>
        <w:fldChar w:fldCharType="begin"/>
      </w:r>
      <w:r w:rsidR="005215CB" w:rsidRPr="00DA70A9">
        <w:rPr>
          <w:rFonts w:ascii="Arial" w:hAnsi="Arial" w:cs="Arial"/>
        </w:rPr>
        <w:instrText xml:space="preserve"> ADDIN ZOTERO_ITEM CSL_CITATION {"citationID":"M4LM95pO","properties":{"formattedCitation":"\\super 15\\nosupersub{}","plainCitation":"15","noteIndex":0},"citationItems":[{"id":114,"uris":["http://zotero.org/users/local/fy8HeEeu/items/JJLRXYEX"],"itemData":{"id":114,"type":"article-journal","abstract":"Leger et al., (2019). pycoQC, interactive quality control for Oxford Nanopore Sequencing. Journal of Open Source Software, 4(34), 1236, https://doi.org/10.21105/joss.01236","container-title":"Journal of Open Source Software","DOI":"10.21105/joss.01236","ISSN":"2475-9066","issue":"34","language":"en","page":"1236","source":"joss.theoj.org","title":"pycoQC, interactive quality control for Oxford Nanopore Sequencing","volume":"4","author":[{"family":"Leger","given":"Adrien"},{"family":"Leonardi","given":"Tommaso"}],"issued":{"date-parts":[["2019",2,28]]}}}],"schema":"https://github.com/citation-style-language/schema/raw/master/csl-citation.json"} </w:instrText>
      </w:r>
      <w:r w:rsidR="006C06E3" w:rsidRPr="00DA70A9">
        <w:rPr>
          <w:rFonts w:ascii="Arial" w:hAnsi="Arial" w:cs="Arial"/>
        </w:rPr>
        <w:fldChar w:fldCharType="separate"/>
      </w:r>
      <w:r w:rsidR="005215CB" w:rsidRPr="00DA70A9">
        <w:rPr>
          <w:rFonts w:ascii="Arial" w:hAnsi="Arial" w:cs="Arial"/>
          <w:vertAlign w:val="superscript"/>
        </w:rPr>
        <w:t>15</w:t>
      </w:r>
      <w:r w:rsidR="006C06E3" w:rsidRPr="00DA70A9">
        <w:rPr>
          <w:rFonts w:ascii="Arial" w:hAnsi="Arial" w:cs="Arial"/>
        </w:rPr>
        <w:fldChar w:fldCharType="end"/>
      </w:r>
      <w:r w:rsidRPr="00DA70A9">
        <w:rPr>
          <w:rFonts w:ascii="Arial" w:hAnsi="Arial" w:cs="Arial"/>
        </w:rPr>
        <w:t xml:space="preserve">, assess sequencing quality using metrics including read counts, length distribution, </w:t>
      </w:r>
      <w:proofErr w:type="spellStart"/>
      <w:r w:rsidRPr="00DA70A9">
        <w:rPr>
          <w:rFonts w:ascii="Arial" w:hAnsi="Arial" w:cs="Arial"/>
        </w:rPr>
        <w:t>basecalling</w:t>
      </w:r>
      <w:proofErr w:type="spellEnd"/>
      <w:r w:rsidRPr="00DA70A9">
        <w:rPr>
          <w:rFonts w:ascii="Arial" w:hAnsi="Arial" w:cs="Arial"/>
        </w:rPr>
        <w:t xml:space="preserve"> accuracy, adapter contamination, GC content, and coverage</w:t>
      </w:r>
      <w:r w:rsidR="007A37C9" w:rsidRPr="00DA70A9">
        <w:rPr>
          <w:rFonts w:ascii="Arial" w:hAnsi="Arial" w:cs="Arial"/>
        </w:rPr>
        <w:t>, among others</w:t>
      </w:r>
      <w:r w:rsidRPr="00DA70A9">
        <w:rPr>
          <w:rFonts w:ascii="Arial" w:hAnsi="Arial" w:cs="Arial"/>
        </w:rPr>
        <w:t>. At the transcript level, SQANTI3 is widely used for evaluating the structural novelty of transcripts, integrating complementary data such as short-read alignments, CAGE peaks, poly(A) motifs, and poly(A) sites</w:t>
      </w:r>
      <w:r w:rsidR="0042282A" w:rsidRPr="00DA70A9">
        <w:rPr>
          <w:rFonts w:ascii="Arial" w:hAnsi="Arial" w:cs="Arial"/>
        </w:rPr>
        <w:t>, and machine learning</w:t>
      </w:r>
      <w:r w:rsidRPr="00DA70A9">
        <w:rPr>
          <w:rFonts w:ascii="Arial" w:hAnsi="Arial" w:cs="Arial"/>
        </w:rPr>
        <w:t xml:space="preserve"> to improve confidence and curation</w:t>
      </w:r>
      <w:r w:rsidR="00F14032" w:rsidRPr="00DA70A9">
        <w:rPr>
          <w:rFonts w:ascii="Arial" w:hAnsi="Arial" w:cs="Arial"/>
        </w:rPr>
        <w:t xml:space="preserve"> of long-read defined transcriptome</w:t>
      </w:r>
      <w:r w:rsidR="0069240B" w:rsidRPr="00DA70A9">
        <w:rPr>
          <w:rFonts w:ascii="Arial" w:hAnsi="Arial" w:cs="Arial"/>
        </w:rPr>
        <w:fldChar w:fldCharType="begin"/>
      </w:r>
      <w:r w:rsidR="005215CB" w:rsidRPr="00DA70A9">
        <w:rPr>
          <w:rFonts w:ascii="Arial" w:hAnsi="Arial" w:cs="Arial"/>
        </w:rPr>
        <w:instrText xml:space="preserve"> ADDIN ZOTERO_ITEM CSL_CITATION {"citationID":"UlcXmC4X","properties":{"formattedCitation":"\\super 16\\nosupersub{}","plainCitation":"16","noteIndex":0},"citationItems":[{"id":22,"uris":["http://zotero.org/users/local/fy8HeEeu/items/NGNTWKAX"],"itemData":{"id":22,"type":"article-journal","abstract":"SQANTI3 is a tool designed for the quality control, curation and annotation of long-read transcript models obtained with third-generation sequencing technologies. Leveraging its annotation framework, SQANTI3 calculates quality descriptors of transcript models, junctions and transcript ends. With this information, potential artifacts can be identified and replaced with reliable sequences. Furthermore, the integrated functional annotation feature enables subsequent functional iso-transcriptomics analyses.","container-title":"Nature Methods","DOI":"10.1038/s41592-024-02229-2","ISSN":"1548-7105","issue":"5","journalAbbreviation":"Nat Methods","language":"en","license":"2024 The Author(s)","note":"publisher: Nature Publishing Group","page":"793-797","source":"www.nature.com","title":"SQANTI3: curation of long-read transcriptomes for accurate identification of known and novel isoforms","title-short":"SQANTI3","volume":"21","author":[{"family":"Pardo-Palacios","given":"Francisco J."},{"family":"Arzalluz-Luque","given":"Angeles"},{"family":"Kondratova","given":"Liudmyla"},{"family":"Salguero","given":"Pedro"},{"family":"Mestre-Tomás","given":"Jorge"},{"family":"Amorín","given":"Rocío"},{"family":"Estevan-Morió","given":"Eva"},{"family":"Liu","given":"Tianyuan"},{"family":"Nanni","given":"Adalena"},{"family":"McIntyre","given":"Lauren"},{"family":"Tseng","given":"Elizabeth"},{"family":"Conesa","given":"Ana"}],"issued":{"date-parts":[["2024",5]]}}}],"schema":"https://github.com/citation-style-language/schema/raw/master/csl-citation.json"} </w:instrText>
      </w:r>
      <w:r w:rsidR="0069240B" w:rsidRPr="00DA70A9">
        <w:rPr>
          <w:rFonts w:ascii="Arial" w:hAnsi="Arial" w:cs="Arial"/>
        </w:rPr>
        <w:fldChar w:fldCharType="separate"/>
      </w:r>
      <w:r w:rsidR="005215CB" w:rsidRPr="00DA70A9">
        <w:rPr>
          <w:rFonts w:ascii="Arial" w:hAnsi="Arial" w:cs="Arial"/>
          <w:vertAlign w:val="superscript"/>
        </w:rPr>
        <w:t>16</w:t>
      </w:r>
      <w:r w:rsidR="0069240B" w:rsidRPr="00DA70A9">
        <w:rPr>
          <w:rFonts w:ascii="Arial" w:hAnsi="Arial" w:cs="Arial"/>
        </w:rPr>
        <w:fldChar w:fldCharType="end"/>
      </w:r>
      <w:r w:rsidRPr="00DA70A9">
        <w:rPr>
          <w:rFonts w:ascii="Arial" w:hAnsi="Arial" w:cs="Arial"/>
        </w:rPr>
        <w:t xml:space="preserve">. </w:t>
      </w:r>
      <w:r w:rsidR="00E60875" w:rsidRPr="00DA70A9">
        <w:rPr>
          <w:rFonts w:ascii="Arial" w:hAnsi="Arial" w:cs="Arial"/>
        </w:rPr>
        <w:t xml:space="preserve">Although these tools yield valuable insights into data quality, they do not offer an absolute ground truth </w:t>
      </w:r>
      <w:r w:rsidR="007A37C9" w:rsidRPr="00DA70A9">
        <w:rPr>
          <w:rFonts w:ascii="Arial" w:hAnsi="Arial" w:cs="Arial"/>
        </w:rPr>
        <w:t xml:space="preserve">and therefore cannot provide formal </w:t>
      </w:r>
      <w:r w:rsidR="00E60875" w:rsidRPr="00DA70A9">
        <w:rPr>
          <w:rFonts w:ascii="Arial" w:hAnsi="Arial" w:cs="Arial"/>
        </w:rPr>
        <w:t xml:space="preserve">benchmarking </w:t>
      </w:r>
      <w:r w:rsidR="007A37C9" w:rsidRPr="00DA70A9">
        <w:rPr>
          <w:rFonts w:ascii="Arial" w:hAnsi="Arial" w:cs="Arial"/>
        </w:rPr>
        <w:t>capabilities.</w:t>
      </w:r>
    </w:p>
    <w:p w14:paraId="7A954BDF" w14:textId="14F6A8DB" w:rsidR="00BC5EC9" w:rsidRPr="00DA70A9" w:rsidRDefault="3AB00C23" w:rsidP="006C7777">
      <w:pPr>
        <w:rPr>
          <w:rFonts w:ascii="Arial" w:hAnsi="Arial" w:cs="Arial"/>
        </w:rPr>
      </w:pPr>
      <w:r w:rsidRPr="00DA70A9">
        <w:rPr>
          <w:rFonts w:ascii="Arial" w:hAnsi="Arial" w:cs="Arial"/>
        </w:rPr>
        <w:t>Current long-read benchmarking frameworks have adopted and adapted existing short-read methods. For example, BUSCO, which measures completeness by comparing reconstructed transcriptomes against a database of conserved single-copy orthologs</w:t>
      </w:r>
      <w:r w:rsidR="62BA7587" w:rsidRPr="00DA70A9">
        <w:rPr>
          <w:rFonts w:ascii="Arial" w:hAnsi="Arial" w:cs="Arial"/>
        </w:rPr>
        <w:fldChar w:fldCharType="begin"/>
      </w:r>
      <w:r w:rsidR="62BA7587" w:rsidRPr="00DA70A9">
        <w:rPr>
          <w:rFonts w:ascii="Arial" w:hAnsi="Arial" w:cs="Arial"/>
        </w:rPr>
        <w:instrText xml:space="preserve"> ADDIN ZOTERO_ITEM CSL_CITATION {"citationID":"Z65ITscy","properties":{"formattedCitation":"\\super 17\\nosupersub{}","plainCitation":"17","noteIndex":0},"citationItems":[{"id":25,"uris":["http://zotero.org/users/local/fy8HeEeu/items/W743U4SC"],"itemData":{"id":25,"type":"article-journal","abstract":"Motivation: Genomics has revolutionized biological research, but quality assessment of the resulting assembled sequences is complicated and remains mostly limited to technical measures like N50.Results: We propose a measure for quantitative assessment of genome assembly and annotation completeness based on evolutionarily informed expectations of gene content. We implemented the assessment procedure in open-source software, with sets of Benchmarking Universal Single-Copy Orthologs, named BUSCO.Availability and implementation: Software implemented in Python and datasets available for download from http://busco.ezlab.org.Contact:  evgeny.zdobnov@unige.chSupplementary information:  Supplementary data are available at Bioinformatics online.","container-title":"Bioinformatics","DOI":"10.1093/bioinformatics/btv351","ISSN":"1367-4803","issue":"19","journalAbbreviation":"Bioinformatics","page":"3210-3212","source":"Silverchair","title":"BUSCO: assessing genome assembly and annotation completeness with single-copy orthologs","title-short":"BUSCO","volume":"31","author":[{"family":"Simão","given":"Felipe A."},{"family":"Waterhouse","given":"Robert M."},{"family":"Ioannidis","given":"Panagiotis"},{"family":"Kriventseva","given":"Evgenia V."},{"family":"Zdobnov","given":"Evgeny M."}],"issued":{"date-parts":[["2015",10,1]]}}}],"schema":"https://github.com/citation-style-language/schema/raw/master/csl-citation.json"} </w:instrText>
      </w:r>
      <w:r w:rsidR="62BA7587" w:rsidRPr="00DA70A9">
        <w:rPr>
          <w:rFonts w:ascii="Arial" w:hAnsi="Arial" w:cs="Arial"/>
        </w:rPr>
        <w:fldChar w:fldCharType="separate"/>
      </w:r>
      <w:r w:rsidRPr="00DA70A9">
        <w:rPr>
          <w:rFonts w:ascii="Arial" w:hAnsi="Arial" w:cs="Arial"/>
          <w:vertAlign w:val="superscript"/>
        </w:rPr>
        <w:t>17</w:t>
      </w:r>
      <w:r w:rsidR="62BA7587" w:rsidRPr="00DA70A9">
        <w:rPr>
          <w:rFonts w:ascii="Arial" w:hAnsi="Arial" w:cs="Arial"/>
        </w:rPr>
        <w:fldChar w:fldCharType="end"/>
      </w:r>
      <w:r w:rsidRPr="00DA70A9">
        <w:rPr>
          <w:rFonts w:ascii="Arial" w:hAnsi="Arial" w:cs="Arial"/>
        </w:rPr>
        <w:t>, has been used by several LRS assessment studies</w:t>
      </w:r>
      <w:r w:rsidR="62BA7587" w:rsidRPr="00DA70A9">
        <w:rPr>
          <w:rFonts w:ascii="Arial" w:hAnsi="Arial" w:cs="Arial"/>
        </w:rPr>
        <w:fldChar w:fldCharType="begin"/>
      </w:r>
      <w:r w:rsidR="62BA7587" w:rsidRPr="00DA70A9">
        <w:rPr>
          <w:rFonts w:ascii="Arial" w:hAnsi="Arial" w:cs="Arial"/>
        </w:rPr>
        <w:instrText xml:space="preserve"> ADDIN ZOTERO_ITEM CSL_CITATION {"citationID":"alm82yH3","properties":{"unsorted":true,"formattedCitation":"\\super 18\\uc0\\u8211{}20\\nosupersub{}","plainCitation":"18–20","noteIndex":0},"citationItems":[{"id":166,"uris":["http://zotero.org/users/local/fy8HeEeu/items/JJ3IAAQL"],"itemData":{"id":166,"type":"article-journal","abstract":"Douglas-fir (Pseudotsuga menziesii) is native to western North America.\nIt grows in a wide range of environmental conditions and is an important timber tree.\nAlthough there are several studies on the gene expression responses of Douglas-fir to\nabiotic cues, the absence of high-quality transcriptome and genome data is a barrier to\nfurther investigation. Like for most conifers, the available transcriptome and genome\nreference dataset for Douglas-fir remains fragmented and requires refinement. We aimed to\ngenerate a highly accurate, and complete reference transcriptome and genome annotation. We\ndeep-sequenced the transcriptome of Douglas-fir needles from seedlings that were grown\nunder nonstress control conditions or a combination of heat and drought stress conditions\nusing long-read (LR) and short-read (SR) sequencing platforms. We used 2 computational\napproaches, namely de novo and genome-guided LR transcriptome assembly.\nUsing the LR de novo assembly, we identified 1.3X more high-quality\ntranscripts, 1.85X more “complete” genes, and 2.7X more functionally annotated genes\ncompared to the genome-guided assembly approach. We predicted 666 long noncoding RNAs and\n12,778 unique protein-coding transcripts including 2,016 putative transcription factors.\nWe leveraged the LR de novo assembled transcriptome with paired-end SR\nand a published single-end SR transcriptome to generate an improved genome annotation.\nThis was conducted with BRAKER2 and refined based on functional annotation, repetitive\ncontent, and transcriptome alignment. This high-quality genome annotation has 51,419\nunique gene models derived from 322,631 initial predictions. Overall, our informatics\napproach provides a new reference Douglas-fir transcriptome assembly and genome annotation\nwith considerably improved completeness and functional annotation.","container-title":"G3: Genes|Genomes|Genetics","DOI":"10.1093/g3journal/jkac304","ISSN":"2160-1836","issue":"2","journalAbbreviation":"G3 (Bethesda)","note":"PMID: 36454025\nPMCID: PMC10468028","page":"jkac304","source":"PubMed Central","title":"A long-read and short-read transcriptomics approach provides the first high-quality reference transcriptome and genome annotation for Pseudotsuga menziesii (Douglas-fir)","volume":"13","author":[{"family":"Velasco","given":"Vera Marjorie Elauria"},{"family":"Ferreira","given":"Alyssa"},{"family":"Zaman","given":"Sumaira"},{"family":"Noordermeer","given":"Devin"},{"family":"Ensminger","given":"Ingo"},{"family":"Wegrzyn","given":"Jill L"}],"issued":{"date-parts":[["2022",12,1]]}}},{"id":164,"uris":["http://zotero.org/users/local/fy8HeEeu/items/X8Z5N25H"],"itemData":{"id":164,"type":"article-journal","abstract":"Long-read sequencing technologies have improved significantly since their emergence. Their read lengths, potentially spanning entire transcripts, is advantageous for reconstructing transcriptomes. Existing long-read transcriptome assembly methods are primarily reference-based and to date, there is little focus on reference-free transcriptome assembly. We introduce “RNA-Bloom2 [https://github.com/bcgsc/RNA-Bloom]”, a reference-free assembly method for long-read transcriptome sequencing data. Using simulated datasets and spike-in control data, we show that the transcriptome assembly quality of RNA-Bloom2 is competitive to those of reference-based methods. Furthermore, we find that RNA-Bloom2 requires 27.0 to 80.6% of the peak memory and 3.6 to 10.8% of the total wall-clock runtime of a competing reference-free method. Finally, we showcase RNA-Bloom2 in assembling a transcriptome sample of Picea sitchensis (Sitka spruce). Since our method does not rely on a reference, it further sets the groundwork for large-scale comparative transcriptomics where high-quality draft genome assemblies are not readily available.","container-title":"Nature Communications","DOI":"10.1038/s41467-023-38553-y","ISSN":"2041-1723","issue":"1","journalAbbreviation":"Nat Commun","language":"en","license":"2023 The Author(s)","note":"publisher: Nature Publishing Group","page":"2940","source":"www.nature.com","title":"Reference-free assembly of long-read transcriptome sequencing data with RNA-Bloom2","volume":"14","author":[{"family":"Nip","given":"Ka Ming"},{"family":"Hafezqorani","given":"Saber"},{"family":"Gagalova","given":"Kristina K."},{"family":"Chiu","given":"Readman"},{"family":"Yang","given":"Chen"},{"family":"Warren","given":"René L."},{"family":"Birol","given":"Inanc"}],"issued":{"date-parts":[["2023",5,22]]}}},{"id":2,"uris":["http://zotero.org/users/local/fy8HeEeu/items/YGCM7RC2"],"itemData":{"id":2,"type":"article-journal","abstract":"The Long-read RNA-Seq Genome Annotation Assessment Project Consortium was formed to evaluate the effectiveness of long-read approaches for transcriptome analysis. Using different protocols and sequencing platforms, the consortium generated over 427 million long-read sequences from complementary DNA and direct RNA datasets, encompassing human, mouse and manatee species. Developers utilized these data to address challenges in transcript isoform detection, quantification and de novo transcript detection. The study revealed that libraries with longer, more accurate sequences produce more accurate transcripts than those with increased read depth, whereas greater read depth improved quantification accuracy. In well-annotated genomes, tools based on reference sequences demonstrated the best performance. Incorporating additional orthogonal data and replicate samples is advised when aiming to detect rare and novel transcripts or using reference-free approaches. This collaborative study offers a benchmark for current practices and provides direction for future method development in transcriptome analysis.","container-title":"Nature Methods","DOI":"10.1038/s41592-024-02298-3","ISSN":"1548-7105","issue":"7","journalAbbreviation":"Nat Methods","language":"en","license":"2024 The Author(s)","note":"publisher: Nature Publishing Group","page":"1349-1363","source":"www.nature.com","title":"Systematic assessment of long-read RNA-seq methods for transcript identification and quantification","volume":"21","author":[{"family":"Pardo-Palacios","given":"Francisco J."},{"family":"Wang","given":"Dingjie"},{"family":"Reese","given":"Fairlie"},{"family":"Diekhans","given":"Mark"},{"family":"Carbonell-Sala","given":"Sílvia"},{"family":"Williams","given":"Brian"},{"family":"Loveland","given":"Jane E."},{"family":"De María","given":"Maite"},{"family":"Adams","given":"Matthew S."},{"family":"Balderrama-Gutierrez","given":"Gabriela"},{"family":"Behera","given":"Amit K."},{"family":"Gonzalez Martinez","given":"Jose M."},{"family":"Hunt","given":"Toby"},{"family":"Lagarde","given":"Julien"},{"family":"Liang","given":"Cindy E."},{"family":"Li","given":"Haoran"},{"family":"Meade","given":"Marcus Jerryd"},{"family":"Moraga Amador","given":"David A."},{"family":"Prjibelski","given":"Andrey D."},{"family":"Birol","given":"Inanc"},{"family":"Bostan","given":"Hamed"},{"family":"Brooks","given":"Ashley M."},{"family":"Çelik","given":"Muhammed Hasan"},{"family":"Chen","given":"Ying"},{"family":"Du","given":"Mei R. M."},{"family":"Felton","given":"Colette"},{"family":"Göke","given":"Jonathan"},{"family":"Hafezqorani","given":"Saber"},{"family":"Herwig","given":"Ralf"},{"family":"Kawaji","given":"Hideya"},{"family":"Lee","given":"Joseph"},{"family":"Li","given":"Jian-Liang"},{"family":"Lienhard","given":"Matthias"},{"family":"Mikheenko","given":"Alla"},{"family":"Mulligan","given":"Dennis"},{"family":"Nip","given":"Ka Ming"},{"family":"Pertea","given":"Mihaela"},{"family":"Ritchie","given":"Matthew E."},{"family":"Sim","given":"Andre D."},{"family":"Tang","given":"Alison D."},{"family":"Wan","given":"Yuk Kei"},{"family":"Wang","given":"Changqing"},{"family":"Wong","given":"Brandon Y."},{"family":"Yang","given":"Chen"},{"family":"Barnes","given":"If"},{"family":"Berry","given":"Andrew E."},{"family":"Capella-Gutierrez","given":"Salvador"},{"family":"Cousineau","given":"Alyssa"},{"family":"Dhillon","given":"Namrita"},{"family":"Fernandez-Gonzalez","given":"Jose M."},{"family":"Ferrández-Peral","given":"Luis"},{"family":"Garcia-Reyero","given":"Natàlia"},{"family":"Götz","given":"Stefan"},{"family":"Hernández-Ferrer","given":"Carles"},{"family":"Kondratova","given":"Liudmyla"},{"family":"Liu","given":"Tianyuan"},{"family":"Martinez-Martin","given":"Alessandra"},{"family":"Menor","given":"Carlos"},{"family":"Mestre-Tomás","given":"Jorge"},{"family":"Mudge","given":"Jonathan M."},{"family":"Panayotova","given":"Nedka G."},{"family":"Paniagua","given":"Alejandro"},{"family":"Repchevsky","given":"Dmitry"},{"family":"Ren","given":"Xingjie"},{"family":"Rouchka","given":"Eric"},{"family":"Saint-John","given":"Brandon"},{"family":"Sapena","given":"Enrique"},{"family":"Sheynkman","given":"Leon"},{"family":"Smith","given":"Melissa Laird"},{"family":"Suner","given":"Marie-Marthe"},{"family":"Takahashi","given":"Hazuki"},{"family":"Youngworth","given":"Ingrid A."},{"family":"Carninci","given":"Piero"},{"family":"Denslow","given":"Nancy D."},{"family":"Guigó","given":"Roderic"},{"family":"Hunter","given":"Margaret E."},{"family":"Maehr","given":"Rene"},{"family":"Shen","given":"Yin"},{"family":"Tilgner","given":"Hagen U."},{"family":"Wold","given":"Barbara J."},{"family":"Vollmers","given":"Christopher"},{"family":"Frankish","given":"Adam"},{"family":"Au","given":"Kin Fai"},{"family":"Sheynkman","given":"Gloria M."},{"family":"Mortazavi","given":"Ali"},{"family":"Conesa","given":"Ana"},{"family":"Brooks","given":"Angela N."}],"issued":{"date-parts":[["2024",7]]}}}],"schema":"https://github.com/citation-style-language/schema/raw/master/csl-citation.json"} </w:instrText>
      </w:r>
      <w:r w:rsidR="62BA7587" w:rsidRPr="00DA70A9">
        <w:rPr>
          <w:rFonts w:ascii="Arial" w:hAnsi="Arial" w:cs="Arial"/>
        </w:rPr>
        <w:fldChar w:fldCharType="separate"/>
      </w:r>
      <w:r w:rsidRPr="00DA70A9">
        <w:rPr>
          <w:rFonts w:ascii="Arial" w:hAnsi="Arial" w:cs="Arial"/>
          <w:vertAlign w:val="superscript"/>
        </w:rPr>
        <w:t>18–20</w:t>
      </w:r>
      <w:r w:rsidR="62BA7587" w:rsidRPr="00DA70A9">
        <w:rPr>
          <w:rFonts w:ascii="Arial" w:hAnsi="Arial" w:cs="Arial"/>
        </w:rPr>
        <w:fldChar w:fldCharType="end"/>
      </w:r>
      <w:r w:rsidRPr="00DA70A9">
        <w:rPr>
          <w:rFonts w:ascii="Arial" w:hAnsi="Arial" w:cs="Arial"/>
        </w:rPr>
        <w:t>. However, BUSCO is limited in its capacity to evaluate isoform diversity, often misinterpreting alternatively spliced transcripts as g</w:t>
      </w:r>
      <w:commentRangeStart w:id="5"/>
      <w:r w:rsidRPr="00DA70A9">
        <w:rPr>
          <w:rFonts w:ascii="Arial" w:hAnsi="Arial" w:cs="Arial"/>
        </w:rPr>
        <w:t>ene duplications</w:t>
      </w:r>
      <w:commentRangeEnd w:id="5"/>
      <w:r w:rsidR="62BA7587" w:rsidRPr="00DA70A9">
        <w:rPr>
          <w:rStyle w:val="CommentReference"/>
          <w:rFonts w:ascii="Arial" w:hAnsi="Arial" w:cs="Arial"/>
          <w:sz w:val="20"/>
          <w:szCs w:val="20"/>
        </w:rPr>
        <w:commentReference w:id="5"/>
      </w:r>
      <w:r w:rsidR="62BA7587" w:rsidRPr="00DA70A9">
        <w:rPr>
          <w:rFonts w:ascii="Arial" w:hAnsi="Arial" w:cs="Arial"/>
        </w:rPr>
        <w:fldChar w:fldCharType="begin"/>
      </w:r>
      <w:r w:rsidR="62BA7587" w:rsidRPr="00DA70A9">
        <w:rPr>
          <w:rFonts w:ascii="Arial" w:hAnsi="Arial" w:cs="Arial"/>
        </w:rPr>
        <w:instrText xml:space="preserve"> ADDIN ZOTERO_ITEM CSL_CITATION {"citationID":"JvGxfuAW","properties":{"formattedCitation":"\\super 21,22\\nosupersub{}","plainCitation":"21,22","noteIndex":0},"citationItems":[{"id":194,"uris":["http://zotero.org/users/local/fy8HeEeu/items/BLL5XYD3"],"itemData":{"id":194,"type":"article","abstract":"Diatoms, a major group of microalgae, play a critical role in global carbon cycling and primary production. Despite their ecological significance, comprehensive genomic resources for diatoms are limited. To address this, we have annotated previously unannotated genome assemblies of 49 diatom species. Genome assemblies were obtained from NCBI Datasets and processed for repeat elements using RepeatModeler2 and RepeatMasker. For gene prediction, BRAKER2 was employed in the absence of transcriptomic data, while BRAKER3 was utilized when transcriptome short read data were available from the Sequence Read Archive. The quality of genome assemblies and predicted protein sets was evaluated using BUSCO, ensuring high-quality genomic resources. Functional annotation was performed using EnTAP, providing insights into the biological roles of the predicted proteins. Our study enhances the genomic toolkit available for diatoms, facilitating future research in diatom biology, ecology, and evolution.","DOI":"10.48550/arXiv.2410.05467","note":"arXiv:2410.05467 [q-bio]","number":"arXiv:2410.05467","publisher":"arXiv","source":"arXiv.org","title":"Annotation of protein-coding genes in 49 diatom genomes from the Bacillariophyta clade","URL":"http://arxiv.org/abs/2410.05467","author":[{"family":"Nenasheva","given":"Natalia"},{"family":"Pitzschel","given":"Clara"},{"family":"Webster","given":"Cynthia N."},{"family":"Hart","given":"Alex"},{"family":"Wegrzyn","given":"Jill L."},{"family":"Bengtsson","given":"Mia M."},{"family":"Hoff","given":"Katharina J."}],"accessed":{"date-parts":[["2025",6,22]]},"issued":{"date-parts":[["2024",10,11]]}}},{"id":198,"uris":["http://zotero.org/users/local/fy8HeEeu/items/AHSMCTBV"],"itemData":{"id":198,"type":"article-journal","abstract":"While the production of a draft genome has become more accessible due to long-read sequencing, the annotation of these new genomes has not been developed at the same pace. Long-read RNA sequencing offers a promising solution for enhancing gene annotation. In this study, we explore how sequencing platforms, Oxford Nanopore R9.4.1 chemistry or Pacific Biosciences (PacBio) Sequel II CCS, and data processing methods influence evidence-driven genome annotation using long reads. Incorporating PacBio transcripts into our annotation pipeline significantly outperformed traditional methods, such as ab initio predictions and short-read-based annotations. We applied this strategy to a nonmodel species, the Florida manatee, and compared our results to existing short-read-based annotation. At the loci level, both annotations were highly concordant, with 90% agreement. However, at the transcript level, the agreement was only 35%. We identified 4906 novel loci, represented by 5707 isoforms, with 64% of these isoforms matching known sequences in other mammalian species. Overall, our findings underscore the importance of using high-quality curated transcript models in combination with ab initio methods for effective genome annotation.","container-title":"Genome Research","DOI":"10.1101/gr.279864.124","ISSN":"1088-9051, 1549-5469","issue":"4","journalAbbreviation":"Genome Res.","language":"en","note":"Company: Cold Spring Harbor Laboratory Press\nDistributor: Cold Spring Harbor Laboratory Press\nInstitution: Cold Spring Harbor Laboratory Press\nLabel: Cold Spring Harbor Laboratory Press\npublisher: Cold Spring Harbor Lab\nPMID: 39715684","page":"1053-1064","source":"genome.cshlp.org","title":"Evaluation of strategies for evidence-driven genome annotation using long-read RNA-seq","volume":"35","author":[{"family":"Paniagua","given":"Alejandro"},{"family":"Agustín-García","given":"Cristina"},{"family":"Pardo-Palacios","given":"Francisco J."},{"family":"Brown","given":"Thomas"},{"family":"Maria","given":"Maite De"},{"family":"Denslow","given":"Nancy D."},{"family":"Mazzoni","given":"Camila J."},{"family":"Conesa","given":"Ana"}],"issued":{"date-parts":[["2025",4,1]]}}}],"schema":"https://github.com/citation-style-language/schema/raw/master/csl-citation.json"} </w:instrText>
      </w:r>
      <w:r w:rsidR="62BA7587" w:rsidRPr="00DA70A9">
        <w:rPr>
          <w:rFonts w:ascii="Arial" w:hAnsi="Arial" w:cs="Arial"/>
        </w:rPr>
        <w:fldChar w:fldCharType="separate"/>
      </w:r>
      <w:r w:rsidRPr="00DA70A9">
        <w:rPr>
          <w:rFonts w:ascii="Arial" w:hAnsi="Arial" w:cs="Arial"/>
          <w:vertAlign w:val="superscript"/>
        </w:rPr>
        <w:t>21,22</w:t>
      </w:r>
      <w:r w:rsidR="62BA7587" w:rsidRPr="00DA70A9">
        <w:rPr>
          <w:rFonts w:ascii="Arial" w:hAnsi="Arial" w:cs="Arial"/>
        </w:rPr>
        <w:fldChar w:fldCharType="end"/>
      </w:r>
      <w:r w:rsidRPr="00DA70A9">
        <w:rPr>
          <w:rFonts w:ascii="Arial" w:hAnsi="Arial" w:cs="Arial"/>
        </w:rPr>
        <w:t>. Another strategy is the utilization of spiked-in RNAs mimicking alternatively spliced transcripts, such as ERCCs</w:t>
      </w:r>
      <w:r w:rsidR="62BA7587" w:rsidRPr="00DA70A9">
        <w:rPr>
          <w:rFonts w:ascii="Arial" w:hAnsi="Arial" w:cs="Arial"/>
        </w:rPr>
        <w:fldChar w:fldCharType="begin"/>
      </w:r>
      <w:r w:rsidR="62BA7587" w:rsidRPr="00DA70A9">
        <w:rPr>
          <w:rFonts w:ascii="Arial" w:hAnsi="Arial" w:cs="Arial"/>
        </w:rPr>
        <w:instrText xml:space="preserve"> ADDIN ZOTERO_ITEM CSL_CITATION {"citationID":"mKgfR7jX","properties":{"formattedCitation":"\\super 23\\nosupersub{}","plainCitation":"23","noteIndex":0},"citationItems":[{"id":185,"uris":["http://zotero.org/users/local/fy8HeEeu/items/KH3CRW4S"],"itemData":{"id":185,"type":"article-journal","abstract":"High-throughput sequencing of cDNA (RNA-seq) is a widely deployed transcriptome profiling and annotation technique, but questions about the performance of different protocols and platforms remain. We used a newly developed pool of 96 synthetic RNAs with various lengths, and GC content covering a 220 concentration range as spike-in controls to measure sensitivity, accuracy, and biases in RNA-seq experiments as well as to derive standard curves for quantifying the abundance of transcripts. We observed linearity between read density and RNA input over the entire detection range and excellent agreement between replicates, but we observed significantly larger imprecision than expected under pure Poisson sampling errors. We use the control RNAs to directly measure reproducible protocol-dependent biases due to GC content and transcript length as well as stereotypic heterogeneity in coverage across transcripts correlated with position relative to RNA termini and priming sequence bias. These effects lead to biased quantification for short transcripts and individual exons, which is a serious problem for measurements of isoform abundances, but that can partially be corrected using appropriate models of bias. By using the control RNAs, we derive limits for the discovery and detection of rare transcripts in RNA-seq experiments. By using data collected as part of the model organism and human Encyclopedia of DNA Elements projects (ENCODE and modENCODE), we demonstrate that external RNA controls are a useful resource for evaluating sensitivity and accuracy of RNA-seq experiments for transcriptome discovery and quantification. These quality metrics facilitate comparable analysis across different samples, protocols, and platforms.","container-title":"Genome Research","DOI":"10.1101/gr.121095.111","ISSN":"1088-9051","issue":"9","journalAbbreviation":"Genome Res","note":"PMID: 21816910\nPMCID: PMC3166838","page":"1543-1551","source":"PubMed Central","title":"Synthetic spike-in standards for RNA-seq experiments","volume":"21","author":[{"family":"Jiang","given":"Lichun"},{"family":"Schlesinger","given":"Felix"},{"family":"Davis","given":"Carrie A."},{"family":"Zhang","given":"Yu"},{"family":"Li","given":"Renhua"},{"family":"Salit","given":"Marc"},{"family":"Gingeras","given":"Thomas R."},{"family":"Oliver","given":"Brian"}],"issued":{"date-parts":[["2011",9]]}}}],"schema":"https://github.com/citation-style-language/schema/raw/master/csl-citation.json"} </w:instrText>
      </w:r>
      <w:r w:rsidR="62BA7587" w:rsidRPr="00DA70A9">
        <w:rPr>
          <w:rFonts w:ascii="Arial" w:hAnsi="Arial" w:cs="Arial"/>
        </w:rPr>
        <w:fldChar w:fldCharType="separate"/>
      </w:r>
      <w:r w:rsidRPr="00DA70A9">
        <w:rPr>
          <w:rFonts w:ascii="Arial" w:hAnsi="Arial" w:cs="Arial"/>
          <w:vertAlign w:val="superscript"/>
        </w:rPr>
        <w:t>23</w:t>
      </w:r>
      <w:r w:rsidR="62BA7587" w:rsidRPr="00DA70A9">
        <w:rPr>
          <w:rFonts w:ascii="Arial" w:hAnsi="Arial" w:cs="Arial"/>
        </w:rPr>
        <w:fldChar w:fldCharType="end"/>
      </w:r>
      <w:r w:rsidRPr="00DA70A9">
        <w:rPr>
          <w:rFonts w:ascii="Arial" w:hAnsi="Arial" w:cs="Arial"/>
        </w:rPr>
        <w:t>, SIRVs (lexogen.com/</w:t>
      </w:r>
      <w:proofErr w:type="spellStart"/>
      <w:r w:rsidRPr="00DA70A9">
        <w:rPr>
          <w:rFonts w:ascii="Arial" w:hAnsi="Arial" w:cs="Arial"/>
        </w:rPr>
        <w:t>sirvs</w:t>
      </w:r>
      <w:proofErr w:type="spellEnd"/>
      <w:r w:rsidRPr="00DA70A9">
        <w:rPr>
          <w:rFonts w:ascii="Arial" w:hAnsi="Arial" w:cs="Arial"/>
        </w:rPr>
        <w:t>/) and Sequins</w:t>
      </w:r>
      <w:r w:rsidR="62BA7587" w:rsidRPr="00DA70A9">
        <w:rPr>
          <w:rFonts w:ascii="Arial" w:hAnsi="Arial" w:cs="Arial"/>
        </w:rPr>
        <w:fldChar w:fldCharType="begin"/>
      </w:r>
      <w:r w:rsidR="62BA7587" w:rsidRPr="00DA70A9">
        <w:rPr>
          <w:rFonts w:ascii="Arial" w:hAnsi="Arial" w:cs="Arial"/>
        </w:rPr>
        <w:instrText xml:space="preserve"> ADDIN ZOTERO_ITEM CSL_CITATION {"citationID":"5754rtkL","properties":{"formattedCitation":"\\super 24\\nosupersub{}","plainCitation":"24","noteIndex":0},"citationItems":[{"id":29,"uris":["http://zotero.org/users/local/fy8HeEeu/items/ILPJF26I"],"itemData":{"id":29,"type":"article-journal","abstract":"RNA sequencing (RNA-seq) can be used to assemble spliced isoforms, quantify expressed genes and provide a global profile of the transcriptome. However, the size and diversity of the transcriptome, the wide dynamic range in gene expression and inherent technical biases confound RNA-seq analysis. We have developed a set of spike-in RNA standards, termed 'sequins' (sequencing spike-ins), that represent full-length spliced mRNA isoforms. Sequins have an entirely artificial sequence with no homology to natural reference genomes, but they align to gene loci encoded on an artificial in silico chromosome. The combination of multiple sequins across a range of concentrations emulates alternative splicing and differential gene expression, and it provides scaling factors for normalization between samples. We demonstrate the use of sequins in RNA-seq experiments to measure sample-specific biases and determine the limits of reliable transcript assembly and quantification in accompanying human RNA samples. In addition, we have designed a complementary set of sequins that represent fusion genes arising from rearrangements of the in silico chromosome to aid in cancer diagnosis. RNA sequins provide a qualitative and quantitative reference with which to navigate the complexity of the human transcriptome.","container-title":"Nature Methods","DOI":"10.1038/nmeth.3958","ISSN":"1548-7105","issue":"9","journalAbbreviation":"Nat Methods","language":"eng","note":"PMID: 27502218","page":"792-798","source":"PubMed","title":"Spliced synthetic genes as internal controls in RNA sequencing experiments","volume":"13","author":[{"family":"Hardwick","given":"Simon A."},{"family":"Chen","given":"Wendy Y."},{"family":"Wong","given":"Ted"},{"family":"Deveson","given":"Ira W."},{"family":"Blackburn","given":"James"},{"family":"Andersen","given":"Stacey B."},{"family":"Nielsen","given":"Lars K."},{"family":"Mattick","given":"John S."},{"family":"Mercer","given":"Tim R."}],"issued":{"date-parts":[["2016",9]]}}}],"schema":"https://github.com/citation-style-language/schema/raw/master/csl-citation.json"} </w:instrText>
      </w:r>
      <w:r w:rsidR="62BA7587" w:rsidRPr="00DA70A9">
        <w:rPr>
          <w:rFonts w:ascii="Arial" w:hAnsi="Arial" w:cs="Arial"/>
        </w:rPr>
        <w:fldChar w:fldCharType="separate"/>
      </w:r>
      <w:r w:rsidRPr="00DA70A9">
        <w:rPr>
          <w:rFonts w:ascii="Arial" w:hAnsi="Arial" w:cs="Arial"/>
          <w:vertAlign w:val="superscript"/>
        </w:rPr>
        <w:t>24</w:t>
      </w:r>
      <w:r w:rsidR="62BA7587" w:rsidRPr="00DA70A9">
        <w:rPr>
          <w:rFonts w:ascii="Arial" w:hAnsi="Arial" w:cs="Arial"/>
        </w:rPr>
        <w:fldChar w:fldCharType="end"/>
      </w:r>
      <w:r w:rsidRPr="00DA70A9">
        <w:rPr>
          <w:rFonts w:ascii="Arial" w:hAnsi="Arial" w:cs="Arial"/>
        </w:rPr>
        <w:t>. These products offer LRS-tailored benchmarking capabilities but fail to capture the complexity of actual RNA samples, including RNA degradation patterns. As such, spike-ins tend to overestimate the performance of LRS methods. Finally, several data simulation algorithms including computational strategies to simulate novel transcripts have been proposed</w:t>
      </w:r>
      <w:r w:rsidR="62BA7587" w:rsidRPr="00DA70A9">
        <w:rPr>
          <w:rFonts w:ascii="Arial" w:hAnsi="Arial" w:cs="Arial"/>
        </w:rPr>
        <w:fldChar w:fldCharType="begin"/>
      </w:r>
      <w:r w:rsidR="62BA7587" w:rsidRPr="00DA70A9">
        <w:rPr>
          <w:rFonts w:ascii="Arial" w:hAnsi="Arial" w:cs="Arial"/>
        </w:rPr>
        <w:instrText xml:space="preserve"> ADDIN ZOTERO_ITEM CSL_CITATION {"citationID":"AugRx5g5","properties":{"formattedCitation":"\\super 25\\uc0\\u8211{}27\\nosupersub{}","plainCitation":"25–27","noteIndex":0},"citationItems":[{"id":136,"uris":["http://zotero.org/users/local/fy8HeEeu/items/6TNKV3CK"],"itemData":{"id":136,"type":"article-journal","abstract":"The tarball contains the NanoSim pre-trained model on the following dataset: https://labs.epi2me.io/askenazi-kit14-2022-12/\nThe input reads are from Human Genome in a Bottle AshkenaziTrio - Son (NA24385 - hg002) which were sequenced with PromethION flow cells performed using the Ligation Sequencing Kit V14 sequencing chemistry and base-called by dorado.\nPlease check the NanoSim Github page for the most up-to-date information on release notes as well as pre-trained models: https://github.com/bcgsc/NanoSim\nVersions used for training this specific model: NanoSim 3.0.2, Python 3.7.10, scikit-learn v0.23.2. If you have any issues running NanoSim, please check the dependencies section on GitHub for more help.","note":"publisher: Zenodo","source":"Zenodo","title":"NanoSim pre-trained model: Human giab - AshkenaziTrio - Son - NA24385 - HG002 - Kit V14 - R10 - basecalled by dorado","title-short":"NanoSim pre-trained model","URL":"https://zenodo.org/records/10064741","author":[{"family":"Coombe","given":"Lauren"},{"family":"Hafezqorani","given":"Saber"}],"accessed":{"date-parts":[["2025",4,7]]},"issued":{"date-parts":[["2023",11,1]]}}},{"id":138,"uris":["http://zotero.org/users/local/fy8HeEeu/items/I4XMYLFT"],"itemData":{"id":138,"type":"article-journal","abstract":"Long-read sequencers, such as Pacific Biosciences (PacBio) and Oxford Nanopore Technologies (ONT) sequencers, have improved their read length and accuracy, thereby opening up unprecedented research. Many tools and algorithms have been developed to analyze long reads, and rapid progress in PacBio and ONT has further accelerated their development. Together with the development of high-throughput sequencing technologies and their analysis tools, many read simulators have been developed and effectively utilized. PBSIM is one of the popular long-read simulators. In this study, we developed PBSIM3 with three new functions: error models for long reads, multi-pass sequencing for high-fidelity read simulation and transcriptome sequencing simulation. Therefore, PBSIM3 is now able to meet a wide range of long-read simulation requirements.","container-title":"NAR Genomics and Bioinformatics","DOI":"10.1093/nargab/lqac092","ISSN":"2631-9268","issue":"4","journalAbbreviation":"NAR Genomics and Bioinformatics","page":"lqac092","source":"Silverchair","title":"PBSIM3: a simulator for all types of PacBio and ONT long reads","title-short":"PBSIM3","volume":"4","author":[{"family":"Ono","given":"Yukiteru"},{"family":"Hamada","given":"Michiaki"},{"family":"Asai","given":"Kiyoshi"}],"issued":{"date-parts":[["2022",12,1]]}}},{"id":141,"uris":["http://zotero.org/users/local/fy8HeEeu/items/Y5JXUBPX"],"itemData":{"id":141,"type":"article-journal","abstract":"Long-read RNA sequencing has emerged as a powerful tool for transcript discovery, even in well-annotated organisms. However, assessing the accuracy of different methods in identifying annotated and novel transcripts remains a challenge. Here, we present SQANTI-SIM, a versatile tool that wraps around popular long-read simulators to allow precise management of transcript novelty based on the structural categories defined by SQANTI3. By selectively excluding specific transcripts from the reference dataset, SQANTI-SIM effectively emulates scenarios involving unannotated transcripts. Furthermore, the tool provides customizable features and supports the simulation of additional types of data, representing the first multi-omics simulation tool for the lrRNA-seq field.","container-title":"Genome Biology","DOI":"10.1186/s13059-023-03127-0","ISSN":"1474-760X","issue":"1","journalAbbreviation":"Genome Biology","page":"286","source":"BioMed Central","title":"SQANTI-SIM: a simulator of controlled transcript novelty for lrRNA-seq benchmark","title-short":"SQANTI-SIM","volume":"24","author":[{"family":"Mestre-Tomás","given":"Jorge"},{"family":"Liu","given":"Tianyuan"},{"family":"Pardo-Palacios","given":"Francisco"},{"family":"Conesa","given":"Ana"}],"issued":{"date-parts":[["2023",12,11]]}}}],"schema":"https://github.com/citation-style-language/schema/raw/master/csl-citation.json"} </w:instrText>
      </w:r>
      <w:r w:rsidR="62BA7587" w:rsidRPr="00DA70A9">
        <w:rPr>
          <w:rFonts w:ascii="Arial" w:hAnsi="Arial" w:cs="Arial"/>
        </w:rPr>
        <w:fldChar w:fldCharType="separate"/>
      </w:r>
      <w:r w:rsidRPr="00DA70A9">
        <w:rPr>
          <w:rFonts w:ascii="Arial" w:hAnsi="Arial" w:cs="Arial"/>
          <w:vertAlign w:val="superscript"/>
        </w:rPr>
        <w:t>25–27</w:t>
      </w:r>
      <w:r w:rsidR="62BA7587" w:rsidRPr="00DA70A9">
        <w:rPr>
          <w:rFonts w:ascii="Arial" w:hAnsi="Arial" w:cs="Arial"/>
        </w:rPr>
        <w:fldChar w:fldCharType="end"/>
      </w:r>
      <w:r w:rsidRPr="00DA70A9">
        <w:rPr>
          <w:rFonts w:ascii="Arial" w:hAnsi="Arial" w:cs="Arial"/>
        </w:rPr>
        <w:t>. While these tools can generate comprehensive ground truth datasets for method evaluation, they face challenges in faithfully simulating the complexity of the different sources of biases present in the data, and their results need to be complemented with additional benchmarking solutions.</w:t>
      </w:r>
    </w:p>
    <w:p w14:paraId="17D59443" w14:textId="43D24AF5" w:rsidR="0057251B" w:rsidRPr="00DA70A9" w:rsidRDefault="3AB00C23" w:rsidP="006C7777">
      <w:pPr>
        <w:rPr>
          <w:rFonts w:ascii="Arial" w:hAnsi="Arial" w:cs="Arial"/>
        </w:rPr>
      </w:pPr>
      <w:r w:rsidRPr="00DA70A9">
        <w:rPr>
          <w:rFonts w:ascii="Arial" w:hAnsi="Arial" w:cs="Arial"/>
        </w:rPr>
        <w:t xml:space="preserve">Given these limitations, we developed the Transcriptome Universal Single Isoform </w:t>
      </w:r>
      <w:proofErr w:type="spellStart"/>
      <w:r w:rsidRPr="00DA70A9">
        <w:rPr>
          <w:rFonts w:ascii="Arial" w:hAnsi="Arial" w:cs="Arial"/>
        </w:rPr>
        <w:t>COntrol</w:t>
      </w:r>
      <w:proofErr w:type="spellEnd"/>
      <w:r w:rsidRPr="00DA70A9">
        <w:rPr>
          <w:rFonts w:ascii="Arial" w:hAnsi="Arial" w:cs="Arial"/>
        </w:rPr>
        <w:t xml:space="preserve"> (TUSCO), an internal ground truth for LRS transcript identification that can evaluate both real sample and technology artifacts. TUSCO consists of a curated set of widely expressed genes characterized by highly conserved splice sites and the absence of evidence for alternative isoforms in 316 k human dataset and 417 k mouse dataset collected in the Recount3</w:t>
      </w:r>
      <w:r w:rsidR="6A5042BD" w:rsidRPr="00DA70A9">
        <w:rPr>
          <w:rFonts w:ascii="Arial" w:hAnsi="Arial" w:cs="Arial"/>
        </w:rPr>
        <w:fldChar w:fldCharType="begin"/>
      </w:r>
      <w:r w:rsidR="6A5042BD" w:rsidRPr="00DA70A9">
        <w:rPr>
          <w:rFonts w:ascii="Arial" w:hAnsi="Arial" w:cs="Arial"/>
        </w:rPr>
        <w:instrText xml:space="preserve"> ADDIN ZOTERO_ITEM CSL_CITATION {"citationID":"09GXNg8V","properties":{"formattedCitation":"\\super 28\\nosupersub{}","plainCitation":"28","noteIndex":0},"citationItems":[{"id":191,"uris":["http://zotero.org/users/local/fy8HeEeu/items/UFKKD8TK"],"itemData":{"id":191,"type":"article-journal","abstract":"We present recount3, a resource consisting of over 750,000 publicly available human and mouse RNA sequencing (RNA-seq) samples uniformly processed by our new Monorail analysis pipeline. To facilitate access to the data, we provide the recount3 and snapcount R/Bioconductor packages as well as complementary web resources. Using these tools, data can be downloaded as study-level summaries or queried for specific exon-exon junctions, genes, samples, or other features. Monorail can be used to process local and/or private data, allowing results to be directly compared to any study in recount3. Taken together, our tools help biologists maximize the utility of publicly available RNA-seq data, especially to improve their understanding of newly collected data. recount3 is available from http://rna.recount.bio.","container-title":"Genome Biology","DOI":"10.1186/s13059-021-02533-6","ISSN":"1474-760X","issue":"1","journalAbbreviation":"Genome Biology","page":"323","source":"BioMed Central","title":"recount3: summaries and queries for large-scale RNA-seq expression and splicing","title-short":"recount3","volume":"22","author":[{"family":"Wilks","given":"Christopher"},{"family":"Zheng","given":"Shijie C."},{"family":"Chen","given":"Feng Yong"},{"family":"Charles","given":"Rone"},{"family":"Solomon","given":"Brad"},{"family":"Ling","given":"Jonathan P."},{"family":"Imada","given":"Eddie Luidy"},{"family":"Zhang","given":"David"},{"family":"Joseph","given":"Lance"},{"family":"Leek","given":"Jeffrey T."},{"family":"Jaffe","given":"Andrew E."},{"family":"Nellore","given":"Abhinav"},{"family":"Collado-Torres","given":"Leonardo"},{"family":"Hansen","given":"Kasper D."},{"family":"Langmead","given":"Ben"}],"issued":{"date-parts":[["2021",11,29]]}}}],"schema":"https://github.com/citation-style-language/schema/raw/master/csl-citation.json"} </w:instrText>
      </w:r>
      <w:r w:rsidR="6A5042BD" w:rsidRPr="00DA70A9">
        <w:rPr>
          <w:rFonts w:ascii="Arial" w:hAnsi="Arial" w:cs="Arial"/>
        </w:rPr>
        <w:fldChar w:fldCharType="separate"/>
      </w:r>
      <w:r w:rsidRPr="00DA70A9">
        <w:rPr>
          <w:rFonts w:ascii="Arial" w:hAnsi="Arial" w:cs="Arial"/>
          <w:vertAlign w:val="superscript"/>
        </w:rPr>
        <w:t>28</w:t>
      </w:r>
      <w:r w:rsidR="6A5042BD" w:rsidRPr="00DA70A9">
        <w:rPr>
          <w:rFonts w:ascii="Arial" w:hAnsi="Arial" w:cs="Arial"/>
        </w:rPr>
        <w:fldChar w:fldCharType="end"/>
      </w:r>
      <w:r w:rsidRPr="00DA70A9">
        <w:rPr>
          <w:rFonts w:ascii="Arial" w:hAnsi="Arial" w:cs="Arial"/>
        </w:rPr>
        <w:t xml:space="preserve"> database. TUSCO offers several benchmarking advantages. First, it detects false positives by identifying TUSCO-mapped transcripts that deviate from established annotations, providing a measure of precision in transcript identification and revealing partial transcripts that may result from low sample quality. Second, it uncovers false negatives by leveraging the widespread expression of TUSCO transcripts across human or mouse samples, thereby assessing the sensitivity and completeness of transcript detection methods. Third, in its </w:t>
      </w:r>
      <w:r w:rsidRPr="00DA70A9">
        <w:rPr>
          <w:rFonts w:ascii="Arial" w:hAnsi="Arial" w:cs="Arial"/>
          <w:i/>
          <w:iCs/>
        </w:rPr>
        <w:t>novel</w:t>
      </w:r>
      <w:r w:rsidRPr="00DA70A9">
        <w:rPr>
          <w:rFonts w:ascii="Arial" w:hAnsi="Arial" w:cs="Arial"/>
        </w:rPr>
        <w:t xml:space="preserve"> mode, TUSCO enables the evaluation of performance in detecting novel transcripts under conditions of incomplete annotation. Moreover, TUSCO provides direct and effortless assessment as it eliminates the need to manage spike-in reagents or synthetic data. Our development of TUSCO satisfies a requirement in the LRS transcriptomics field by providing an internal standard for quality control.</w:t>
      </w:r>
    </w:p>
    <w:p w14:paraId="3AF56C07" w14:textId="15A1EB0A" w:rsidR="001C7D8F" w:rsidRPr="00DA70A9" w:rsidRDefault="00547B1C" w:rsidP="006C7777">
      <w:pPr>
        <w:rPr>
          <w:rFonts w:ascii="Arial" w:hAnsi="Arial" w:cs="Arial"/>
        </w:rPr>
      </w:pPr>
      <w:r>
        <w:lastRenderedPageBreak/>
        <w:drawing>
          <wp:inline distT="0" distB="0" distL="0" distR="0" wp14:anchorId="7FC2A835" wp14:editId="63F53287">
            <wp:extent cx="5943600" cy="4580255"/>
            <wp:effectExtent l="0" t="0" r="0" b="4445"/>
            <wp:docPr id="2003165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65584" name="Picture 20031655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80255"/>
                    </a:xfrm>
                    <a:prstGeom prst="rect">
                      <a:avLst/>
                    </a:prstGeom>
                  </pic:spPr>
                </pic:pic>
              </a:graphicData>
            </a:graphic>
          </wp:inline>
        </w:drawing>
      </w:r>
      <w:r w:rsidR="3AB00C23" w:rsidRPr="00DA70A9">
        <w:rPr>
          <w:rFonts w:ascii="Arial" w:hAnsi="Arial" w:cs="Arial"/>
          <w:b/>
          <w:bCs/>
        </w:rPr>
        <w:t>Figure 1:</w:t>
      </w:r>
      <w:r w:rsidR="3AB00C23" w:rsidRPr="00DA70A9">
        <w:rPr>
          <w:rFonts w:ascii="Arial" w:hAnsi="Arial" w:cs="Arial"/>
        </w:rPr>
        <w:t xml:space="preserve"> </w:t>
      </w:r>
      <w:r w:rsidR="3AB00C23" w:rsidRPr="00DA70A9">
        <w:rPr>
          <w:rFonts w:ascii="Arial" w:hAnsi="Arial" w:cs="Arial"/>
          <w:b/>
          <w:bCs/>
        </w:rPr>
        <w:t>Comprehensive overview of TUSCO single-isoform gene sets in human and mouse across major tissues, comparing transcript length and expression levels against reference gene annotations. (</w:t>
      </w:r>
      <w:proofErr w:type="spellStart"/>
      <w:proofErr w:type="gramStart"/>
      <w:r w:rsidR="3AB00C23" w:rsidRPr="00DA70A9">
        <w:rPr>
          <w:rFonts w:ascii="Arial" w:hAnsi="Arial" w:cs="Arial"/>
        </w:rPr>
        <w:t>a,b</w:t>
      </w:r>
      <w:proofErr w:type="spellEnd"/>
      <w:proofErr w:type="gramEnd"/>
      <w:r w:rsidR="3AB00C23" w:rsidRPr="00DA70A9">
        <w:rPr>
          <w:rFonts w:ascii="Arial" w:hAnsi="Arial" w:cs="Arial"/>
        </w:rPr>
        <w:t xml:space="preserve">) Tissue representation for human (a) and mouse (b) TUSCO genes, showing the number of tissue-specific TUSCO sets identified across major organs. Each gene meets stringent single-isoform criteria—identical splice sites, transcription start sites, and transcription termination sites—verified across multiple annotation databases (GENCODE (v48, vM37), </w:t>
      </w:r>
      <w:proofErr w:type="spellStart"/>
      <w:r w:rsidR="3AB00C23" w:rsidRPr="00DA70A9">
        <w:rPr>
          <w:rFonts w:ascii="Arial" w:hAnsi="Arial" w:cs="Arial"/>
        </w:rPr>
        <w:t>RefSeq</w:t>
      </w:r>
      <w:proofErr w:type="spellEnd"/>
      <w:r w:rsidR="3AB00C23" w:rsidRPr="00DA70A9">
        <w:rPr>
          <w:rFonts w:ascii="Arial" w:hAnsi="Arial" w:cs="Arial"/>
        </w:rPr>
        <w:t xml:space="preserve"> (GCF_000001405.40, </w:t>
      </w:r>
      <w:r w:rsidR="3AB00C23" w:rsidRPr="00DA70A9">
        <w:rPr>
          <w:rFonts w:ascii="Arial" w:hAnsi="Arial" w:cs="Arial"/>
          <w:color w:val="212121"/>
        </w:rPr>
        <w:t>GCF_000001635.27</w:t>
      </w:r>
      <w:r w:rsidR="3AB00C23" w:rsidRPr="00DA70A9">
        <w:rPr>
          <w:rFonts w:ascii="Arial" w:hAnsi="Arial" w:cs="Arial"/>
        </w:rPr>
        <w:t xml:space="preserve">), MANE Select (v1.4)). (c) Density plots (log10 scale) show the broad transcript length distribution of TUSCO transcripts (human/mouse) compared with all </w:t>
      </w:r>
      <w:commentRangeStart w:id="6"/>
      <w:r w:rsidR="3AB00C23" w:rsidRPr="00DA70A9">
        <w:rPr>
          <w:rFonts w:ascii="Arial" w:hAnsi="Arial" w:cs="Arial"/>
        </w:rPr>
        <w:t xml:space="preserve">GENCODE </w:t>
      </w:r>
      <w:commentRangeEnd w:id="6"/>
      <w:r w:rsidR="1F5BA4A8">
        <w:rPr>
          <w:rStyle w:val="CommentReference"/>
        </w:rPr>
        <w:commentReference w:id="6"/>
      </w:r>
      <w:r w:rsidR="3AB00C23" w:rsidRPr="00DA70A9">
        <w:rPr>
          <w:rFonts w:ascii="Arial" w:hAnsi="Arial" w:cs="Arial"/>
        </w:rPr>
        <w:t>(human/mouse) transcripts, SIRVs, and ERCCs. (d) Violin plots compare cross-tissue median expression (log10 TPM) of TUSCO genes (green) against the top 10,000 most highly expressed genes (gray) in human (left) and mouse (right) tissues. Embedded boxplots indicate the median (central line), interquartile range (box), and distribution range excluding outliers (whiskers).</w:t>
      </w:r>
    </w:p>
    <w:p w14:paraId="4C666276" w14:textId="47684B94" w:rsidR="370B6CBF" w:rsidRDefault="370B6CBF" w:rsidP="370B6CBF">
      <w:pPr>
        <w:rPr>
          <w:rFonts w:ascii="Arial" w:hAnsi="Arial" w:cs="Arial"/>
        </w:rPr>
      </w:pPr>
    </w:p>
    <w:p w14:paraId="42CA1611" w14:textId="125CE86B" w:rsidR="00CF52D9" w:rsidRPr="00DA70A9" w:rsidRDefault="183DB99C" w:rsidP="006C7777">
      <w:pPr>
        <w:rPr>
          <w:rFonts w:ascii="Arial" w:hAnsi="Arial" w:cs="Arial"/>
          <w:b/>
          <w:bCs/>
        </w:rPr>
      </w:pPr>
      <w:r w:rsidRPr="00DA70A9">
        <w:rPr>
          <w:rFonts w:ascii="Arial" w:hAnsi="Arial" w:cs="Arial"/>
          <w:b/>
          <w:bCs/>
        </w:rPr>
        <w:t>Results</w:t>
      </w:r>
    </w:p>
    <w:p w14:paraId="46F4B0A4" w14:textId="13B92113" w:rsidR="00CF52D9" w:rsidRDefault="00CF52D9" w:rsidP="006C7777">
      <w:pPr>
        <w:spacing w:before="100" w:beforeAutospacing="1" w:after="100" w:afterAutospacing="1"/>
        <w:rPr>
          <w:rFonts w:ascii="Arial" w:hAnsi="Arial" w:cs="Arial"/>
          <w:i/>
          <w:iCs/>
        </w:rPr>
      </w:pPr>
      <w:r w:rsidRPr="00DA70A9">
        <w:rPr>
          <w:rFonts w:ascii="Arial" w:hAnsi="Arial" w:cs="Arial"/>
          <w:i/>
          <w:iCs/>
        </w:rPr>
        <w:t xml:space="preserve">Selection and Validation of </w:t>
      </w:r>
      <w:r w:rsidR="00A20B5E" w:rsidRPr="00DA70A9">
        <w:rPr>
          <w:rFonts w:ascii="Arial" w:hAnsi="Arial" w:cs="Arial"/>
          <w:i/>
          <w:iCs/>
        </w:rPr>
        <w:t>TUSCO</w:t>
      </w:r>
      <w:r w:rsidRPr="00DA70A9">
        <w:rPr>
          <w:rFonts w:ascii="Arial" w:hAnsi="Arial" w:cs="Arial"/>
          <w:i/>
          <w:iCs/>
        </w:rPr>
        <w:t xml:space="preserve"> Genes for Transcript Benchmarking</w:t>
      </w:r>
    </w:p>
    <w:p w14:paraId="38DA6E4D" w14:textId="38A11D08" w:rsidR="002B47E2" w:rsidRPr="002B47E2" w:rsidRDefault="002B47E2" w:rsidP="002B47E2">
      <w:pPr>
        <w:spacing w:before="100" w:beforeAutospacing="1" w:after="100" w:afterAutospacing="1"/>
        <w:rPr>
          <w:rFonts w:ascii="Arial" w:hAnsi="Arial" w:cs="Arial"/>
        </w:rPr>
      </w:pPr>
      <w:r w:rsidRPr="002B47E2">
        <w:rPr>
          <w:rFonts w:ascii="Arial" w:hAnsi="Arial" w:cs="Arial"/>
        </w:rPr>
        <w:t>We built TUSCO by enforcing cross-annotation single-isoform agreement and population evidence for splice/TSS invariance (</w:t>
      </w:r>
      <w:r w:rsidR="00743254">
        <w:rPr>
          <w:rFonts w:ascii="Arial" w:hAnsi="Arial" w:cs="Arial"/>
        </w:rPr>
        <w:t>Figure</w:t>
      </w:r>
      <w:r w:rsidRPr="002B47E2">
        <w:rPr>
          <w:rFonts w:ascii="Arial" w:hAnsi="Arial" w:cs="Arial"/>
        </w:rPr>
        <w:t xml:space="preserve"> 2a). Candidate genes had to present one annotated isoform with identical exon–intron structure and strand across GENCODE and </w:t>
      </w:r>
      <w:proofErr w:type="spellStart"/>
      <w:r w:rsidRPr="002B47E2">
        <w:rPr>
          <w:rFonts w:ascii="Arial" w:hAnsi="Arial" w:cs="Arial"/>
        </w:rPr>
        <w:t>RefSeq</w:t>
      </w:r>
      <w:proofErr w:type="spellEnd"/>
      <w:r w:rsidRPr="002B47E2">
        <w:rPr>
          <w:rFonts w:ascii="Arial" w:hAnsi="Arial" w:cs="Arial"/>
        </w:rPr>
        <w:t xml:space="preserve"> (plus MANE Select for human)</w:t>
      </w:r>
      <w:r w:rsidR="000C2E16">
        <w:rPr>
          <w:rFonts w:ascii="Arial" w:hAnsi="Arial" w:cs="Arial"/>
        </w:rPr>
        <w:fldChar w:fldCharType="begin"/>
      </w:r>
      <w:r w:rsidR="004D3FBC">
        <w:rPr>
          <w:rFonts w:ascii="Arial" w:hAnsi="Arial" w:cs="Arial"/>
        </w:rPr>
        <w:instrText xml:space="preserve"> ADDIN ZOTERO_ITEM CSL_CITATION {"citationID":"jr58eGtb","properties":{"formattedCitation":"\\super 29\\uc0\\u8211{}31\\nosupersub{}","plainCitation":"29–31","noteIndex":0},"citationItems":[{"id":31,"uris":["http://zotero.org/users/local/fy8HeEeu/items/LI7S7827"],"itemData":{"id":31,"type":"article-journal","abstract":"GENCODE produces comprehensive reference gene annotation for human and mouse. Entering its twentieth year, the project remains highly active as new technologies and methodologies allow us to catalog the genome at ever-increasing granularity. In particular, long-read transcriptome sequencing enables us to identify large numbers of missing transcripts and to substantially improve existing models, and our long non-coding RNA catalogs have undergone a dramatic expansion and reconfiguration as a result. Meanwhile, we are incorporating data from state-of-the-art proteomics and Ribo-seq experiments to fine-tune our annotation of translated sequences, while further insights into function can be gained from multi-genome alignments that grow richer as more species’ genomes are sequenced. Such methodologies are combined into a fully integrated annotation workflow. However, the increasing complexity of our resources can present usability challenges, and we are resolving these with the creation of filtered genesets such as MANE Select and GENCODE Primary. The next challenge is to propagate annotations throughout multiple human and mouse genomes, as we enter the pangenome era. Our resources are freely available at our web portal www.gencodegenes.org, and via the Ensembl and UCSC genome browsers.","container-title":"Nucleic Acids Research","DOI":"10.1093/nar/gkae1078","ISSN":"0305-1048","issue":"D1","journalAbbreviation":"Nucleic Acids Research","page":"D966-D975","source":"Silverchair","title":"GENCODE 2025: reference gene annotation for human and mouse","title-short":"GENCODE 2025","volume":"53","author":[{"family":"Mudge","given":"Jonathan M"},{"family":"Carbonell-Sala","given":"Sílvia"},{"family":"Diekhans","given":"Mark"},{"family":"Martinez","given":"Jose Gonzalez"},{"family":"Hunt","given":"Toby"},{"family":"Jungreis","given":"Irwin"},{"family":"Loveland","given":"Jane E"},{"family":"Arnan","given":"Carme"},{"family":"Barnes","given":"If"},{"family":"Bennett","given":"Ruth"},{"family":"Berry","given":"Andrew"},{"family":"Bignell","given":"Alexandra"},{"family":"Cerdán-Vélez","given":"Daniel"},{"family":"Cochran","given":"Kelly"},{"family":"Cortés","given":"Lucas T"},{"family":"Davidson","given":"Claire"},{"family":"Donaldson","given":"Sarah"},{"family":"Dursun","given":"Cagatay"},{"family":"Fatima","given":"Reham"},{"family":"Hardy","given":"Matthew"},{"family":"Hebbar","given":"Prajna"},{"family":"Hollis","given":"Zoe"},{"family":"James","given":"Benjamin T"},{"family":"Jiang","given":"Yunzhe"},{"family":"Johnson","given":"Rory"},{"family":"Kaur","given":"Gazaldeep"},{"family":"Kay","given":"Mike"},{"family":"Mangan","given":"Riley J"},{"family":"Maquedano","given":"Miguel"},{"family":"Gómez","given":"Laura Martínez"},{"family":"Mathlouthi","given":"Nourhen"},{"family":"Merritt","given":"Ryan"},{"family":"Ni","given":"Pengyu"},{"family":"Palumbo","given":"Emilio"},{"family":"Perteghella","given":"Tamara"},{"family":"Pozo","given":"Fernando"},{"family":"Raj","given":"Shriya"},{"family":"Sisu","given":"Cristina"},{"family":"Steed","given":"Emily"},{"family":"Sumathipala","given":"Dulika"},{"family":"Suner","given":"Marie-Marthe"},{"family":"Uszczynska-Ratajczak","given":"Barbara"},{"family":"Wass","given":"Elizabeth"},{"family":"Yang","given":"Yucheng T"},{"family":"Zhang","given":"Dingyao"},{"family":"Finn","given":"Robert D"},{"family":"Gerstein","given":"Mark"},{"family":"Guigó","given":"Roderic"},{"family":"Hubbard","given":"Tim J P"},{"family":"Kellis","given":"Manolis"},{"family":"Kundaje","given":"Anshul"},{"family":"Paten","given":"Benedict"},{"family":"Tress","given":"Michael L"},{"family":"Birney","given":"Ewan"},{"family":"Martin","given":"Fergal J"},{"family":"Frankish","given":"Adam"}],"issued":{"date-parts":[["2025",1,6]]}}},{"id":36,"uris":["http://zotero.org/users/local/fy8HeEeu/items/WSZCCADS"],"itemData":{"id":36,"type":"article-journal","abstract":"Reference sequences and annotations serve as the foundation for many lines of research today, from organism and sequence identification to providing a core description of the genes, transcripts and proteins found in an organism's genome. Interpretation of data including transcriptomics, proteomics, sequence variation and comparative analyses based on reference gene annotations informs our understanding of gene function and possible disease mechanisms, leading to new biomedical discoveries. The Reference Sequence (RefSeq) resource created at the National Center for Biotechnology Information (NCBI) leverages both automatic processes and expert curation to create a robust set of reference sequences of genomic, transcript and protein data spanning the tree of life. RefSeq continues to refine its annotation and quality control processes and utilize better quality genomes resulting from advances in sequencing technologies as well as RNA-Seq data to produce high-quality annotated genomes, ortholog predictions across more organisms and other products that are easily accessible through multiple NCBI resources. This report summarizes the current status of the eukaryotic, prokaryotic and viral RefSeq resources, with a focus on eukaryotic annotation, the increase in taxonomic representation and the effect it will have on comparative genomics. The RefSeq resource is publicly accessible at https://www.ncbi.nlm.nih.gov/refseq.","container-title":"Nucleic Acids Research","DOI":"10.1093/nar/gkae1038","ISSN":"0305-1048","issue":"D1","journalAbbreviation":"Nucleic Acids Research","page":"D243-D257","source":"Silverchair","title":"NCBI RefSeq: reference sequence standards through 25 years of curation and annotation","title-short":"NCBI RefSeq","volume":"53","author":[{"family":"Goldfarb","given":"Tamara"},{"family":"Kodali","given":"Vamsi K"},{"family":"Pujar","given":"Shashikant"},{"family":"Brover","given":"Vyacheslav"},{"family":"Robbertse","given":"Barbara"},{"family":"Farrell","given":"Catherine M"},{"family":"Oh","given":"Dong-Ha"},{"family":"Astashyn","given":"Alexander"},{"family":"Ermolaeva","given":"Olga"},{"family":"Haddad","given":"Diana"},{"family":"Hlavina","given":"Wratko"},{"family":"Hoffman","given":"Jinna"},{"family":"Jackson","given":"John D"},{"family":"Joardar","given":"Vinita S"},{"family":"Kristensen","given":"David"},{"family":"Masterson","given":"Patrick"},{"family":"McGarvey","given":"Kelly M"},{"family":"McVeigh","given":"Richard"},{"family":"Mozes","given":"Eyal"},{"family":"Murphy","given":"Michael R"},{"family":"Schafer","given":"Susan S"},{"family":"Souvorov","given":"Alexander"},{"family":"Spurrier","given":"Brett"},{"family":"Strope","given":"Pooja K"},{"family":"Sun","given":"Hanzhen"},{"family":"Vatsan","given":"Anjana R"},{"family":"Wallin","given":"Craig"},{"family":"Webb","given":"David"},{"family":"Brister","given":"J Rodney"},{"family":"Hatcher","given":"Eneida"},{"family":"Kimchi","given":"Avi"},{"family":"Klimke","given":"William"},{"family":"Marchler-Bauer","given":"Aron"},{"family":"Pruitt","given":"Kim D"},{"family":"Thibaud-Nissen","given":"Françoise"},{"family":"Murphy","given":"Terence D"}],"issued":{"date-parts":[["2025",1,6]]}}},{"id":34,"uris":["http://zotero.org/users/local/fy8HeEeu/items/FT4498YX"],"itemData":{"id":34,"type":"article-journal","abstract":"Comprehensive genome annotation is essential to understand the impact of clinically relevant variants. However, the absence of a standard for clinical reporting and browser display complicates the process of consistent interpretation and reporting. To address these challenges, Ensembl/GENCODE1 and RefSeq2 launched a joint initiative, the Matched Annotation from NCBI and EMBL-EBI (MANE) collaboration, to converge on human gene and transcript annotation and to jointly define a high-value set of transcripts and corresponding proteins. Here, we describe the MANE transcript sets for use as universal standards for variant reporting and browser display. The MANE Select set identifies a representative transcript for each human protein-coding gene, whereas the MANE Plus Clinical set provides additional transcripts at loci where the Select transcripts alone are not sufficient to report all currently known clinical variants. Each MANE transcript represents an exact match between the exonic sequences of an Ensembl/GENCODE transcript and its counterpart in RefSeq such that the identifiers can be used synonymously. We have now released MANE Select transcripts for 97% of human protein-coding genes, including all American College of Medical Genetics and Genomics Secondary Findings list v3.0 (ref. 3) genes. MANE transcripts are accessible from major genome browsers and key resources. Widespread adoption of these transcript sets will increase the consistency of reporting, facilitate the exchange of data regardless of the annotation source and help to streamline clinical interpretation.","container-title":"Nature","DOI":"10.1038/s41586-022-04558-8","ISSN":"1476-4687","issue":"7905","language":"en","license":"2022 This is a U.S. government work and not under copyright protection in the U.S.; foreign copyright protection may apply","note":"publisher: Nature Publishing Group","page":"310-315","source":"www.nature.com","title":"A joint NCBI and EMBL-EBI transcript set for clinical genomics and research","volume":"604","author":[{"family":"Morales","given":"Joannella"},{"family":"Pujar","given":"Shashikant"},{"family":"Loveland","given":"Jane E."},{"family":"Astashyn","given":"Alex"},{"family":"Bennett","given":"Ruth"},{"family":"Berry","given":"Andrew"},{"family":"Cox","given":"Eric"},{"family":"Davidson","given":"Claire"},{"family":"Ermolaeva","given":"Olga"},{"family":"Farrell","given":"Catherine M."},{"family":"Fatima","given":"Reham"},{"family":"Gil","given":"Laurent"},{"family":"Goldfarb","given":"Tamara"},{"family":"Gonzalez","given":"Jose M."},{"family":"Haddad","given":"Diana"},{"family":"Hardy","given":"Matthew"},{"family":"Hunt","given":"Toby"},{"family":"Jackson","given":"John"},{"family":"Joardar","given":"Vinita S."},{"family":"Kay","given":"Michael"},{"family":"Kodali","given":"Vamsi K."},{"family":"McGarvey","given":"Kelly M."},{"family":"McMahon","given":"Aoife"},{"family":"Mudge","given":"Jonathan M."},{"family":"Murphy","given":"Daniel N."},{"family":"Murphy","given":"Michael R."},{"family":"Rajput","given":"Bhanu"},{"family":"Rangwala","given":"Sanjida H."},{"family":"Riddick","given":"Lillian D."},{"family":"Thibaud-Nissen","given":"Françoise"},{"family":"Threadgold","given":"Glen"},{"family":"Vatsan","given":"Anjana R."},{"family":"Wallin","given":"Craig"},{"family":"Webb","given":"David"},{"family":"Flicek","given":"Paul"},{"family":"Birney","given":"Ewan"},{"family":"Pruitt","given":"Kim D."},{"family":"Frankish","given":"Adam"},{"family":"Cunningham","given":"Fiona"},{"family":"Murphy","given":"Terence D."}],"issued":{"date-parts":[["2022",4]]}}}],"schema":"https://github.com/citation-style-language/schema/raw/master/csl-citation.json"} </w:instrText>
      </w:r>
      <w:r w:rsidR="000C2E16">
        <w:rPr>
          <w:rFonts w:ascii="Arial" w:hAnsi="Arial" w:cs="Arial"/>
        </w:rPr>
        <w:fldChar w:fldCharType="separate"/>
      </w:r>
      <w:r w:rsidR="004D3FBC" w:rsidRPr="004D3FBC">
        <w:rPr>
          <w:rFonts w:ascii="Arial" w:hAnsi="Arial" w:cs="Arial"/>
          <w:szCs w:val="24"/>
          <w:vertAlign w:val="superscript"/>
        </w:rPr>
        <w:t>29–31</w:t>
      </w:r>
      <w:r w:rsidR="000C2E16">
        <w:rPr>
          <w:rFonts w:ascii="Arial" w:hAnsi="Arial" w:cs="Arial"/>
        </w:rPr>
        <w:fldChar w:fldCharType="end"/>
      </w:r>
      <w:r w:rsidRPr="002B47E2">
        <w:rPr>
          <w:rFonts w:ascii="Arial" w:hAnsi="Arial" w:cs="Arial"/>
        </w:rPr>
        <w:t xml:space="preserve">. We </w:t>
      </w:r>
      <w:r w:rsidRPr="002B47E2">
        <w:rPr>
          <w:rFonts w:ascii="Arial" w:hAnsi="Arial" w:cs="Arial"/>
        </w:rPr>
        <w:lastRenderedPageBreak/>
        <w:t xml:space="preserve">then screened for hidden alternative splicing using large Illumina compendia: </w:t>
      </w:r>
      <w:proofErr w:type="spellStart"/>
      <w:r w:rsidRPr="002B47E2">
        <w:rPr>
          <w:rFonts w:ascii="Arial" w:hAnsi="Arial" w:cs="Arial"/>
        </w:rPr>
        <w:t>IntroVerse</w:t>
      </w:r>
      <w:proofErr w:type="spellEnd"/>
      <w:r w:rsidRPr="002B47E2">
        <w:rPr>
          <w:rFonts w:ascii="Arial" w:hAnsi="Arial" w:cs="Arial"/>
        </w:rPr>
        <w:t xml:space="preserve"> (human)</w:t>
      </w:r>
      <w:r w:rsidR="004D3FBC">
        <w:rPr>
          <w:rFonts w:ascii="Arial" w:hAnsi="Arial" w:cs="Arial"/>
        </w:rPr>
        <w:fldChar w:fldCharType="begin"/>
      </w:r>
      <w:r w:rsidR="00575D5B">
        <w:rPr>
          <w:rFonts w:ascii="Arial" w:hAnsi="Arial" w:cs="Arial"/>
        </w:rPr>
        <w:instrText xml:space="preserve"> ADDIN ZOTERO_ITEM CSL_CITATION {"citationID":"3iXsxACG","properties":{"formattedCitation":"\\super 32\\nosupersub{}","plainCitation":"32","noteIndex":0},"citationItems":[{"id":39,"uris":["http://zotero.org/users/local/fy8HeEeu/items/IMT44ZUJ"],"itemData":{"id":39,"type":"article-journal","abstract":"Dysregulation of RNA splicing contributes to both rare and complex diseases. RNA-sequencing data from human tissues has shown that this process can be inaccurate, resulting in the presence of novel introns detected at low frequency across samples and within an individual. To enable the full spectrum of intron use to be explored, we have developed IntroVerse, which offers an extensive catalogue on the splicing of 332,571 annotated introns and a linked set of 4,679,474 novel junctions covering 32,669 different genes. This dataset has been generated through the analysis of 17,510 human control RNA samples from 54 tissues provided by the Genotype-Tissue Expression Consortium. IntroVerse has two unique features: (i) it provides a complete catalogue of novel junctions and (ii) each novel junction has been assigned to a specific annotated intron. This unique, hierarchical structure offers multiple uses, including the identification of novel transcripts from known genes and their tissue-specific usage, and the assessment of background splicing noise for introns thought to be mis-spliced in disease states. IntroVerse provides a user-friendly web interface and is freely available at https://rytenlab.com/browser/app/introverse.","container-title":"Nucleic Acids Research","DOI":"10.1093/nar/gkac1056","ISSN":"1362-4962","issue":"D1","journalAbbreviation":"Nucleic Acids Res","language":"eng","note":"PMID: 36399497\nPMCID: PMC9825543","page":"D167-D178","source":"PubMed","title":"IntroVerse: a comprehensive database of introns across human tissues","title-short":"IntroVerse","volume":"51","author":[{"family":"García-Ruiz","given":"Sonia"},{"family":"Gustavsson","given":"Emil K."},{"family":"Zhang","given":"David"},{"family":"Reynolds","given":"Regina H."},{"family":"Chen","given":"Zhongbo"},{"family":"Fairbrother-Browne","given":"Aine"},{"family":"Gil-Martínez","given":"Ana Luisa"},{"family":"Botia","given":"Juan A."},{"family":"Collado-Torres","given":"Leonardo"},{"family":"Ryten","given":"Mina"}],"issued":{"date-parts":[["2023",1,6]]}}}],"schema":"https://github.com/citation-style-language/schema/raw/master/csl-citation.json"} </w:instrText>
      </w:r>
      <w:r w:rsidR="004D3FBC">
        <w:rPr>
          <w:rFonts w:ascii="Arial" w:hAnsi="Arial" w:cs="Arial"/>
        </w:rPr>
        <w:fldChar w:fldCharType="separate"/>
      </w:r>
      <w:r w:rsidR="00575D5B" w:rsidRPr="00575D5B">
        <w:rPr>
          <w:rFonts w:ascii="Arial" w:hAnsi="Arial" w:cs="Arial"/>
          <w:szCs w:val="24"/>
          <w:vertAlign w:val="superscript"/>
        </w:rPr>
        <w:t>32</w:t>
      </w:r>
      <w:r w:rsidR="004D3FBC">
        <w:rPr>
          <w:rFonts w:ascii="Arial" w:hAnsi="Arial" w:cs="Arial"/>
        </w:rPr>
        <w:fldChar w:fldCharType="end"/>
      </w:r>
      <w:r w:rsidRPr="002B47E2">
        <w:rPr>
          <w:rFonts w:ascii="Arial" w:hAnsi="Arial" w:cs="Arial"/>
        </w:rPr>
        <w:t xml:space="preserve"> and recount3 junctions (human and mouse)</w:t>
      </w:r>
      <w:r w:rsidR="0065762E">
        <w:rPr>
          <w:rFonts w:ascii="Arial" w:hAnsi="Arial" w:cs="Arial"/>
        </w:rPr>
        <w:fldChar w:fldCharType="begin"/>
      </w:r>
      <w:r w:rsidR="004127CE">
        <w:rPr>
          <w:rFonts w:ascii="Arial" w:hAnsi="Arial" w:cs="Arial"/>
        </w:rPr>
        <w:instrText xml:space="preserve"> ADDIN ZOTERO_ITEM CSL_CITATION {"citationID":"6flAOFZi","properties":{"formattedCitation":"\\super 28\\nosupersub{}","plainCitation":"28","noteIndex":0},"citationItems":[{"id":191,"uris":["http://zotero.org/users/local/fy8HeEeu/items/UFKKD8TK"],"itemData":{"id":191,"type":"article-journal","abstract":"We present recount3, a resource consisting of over 750,000 publicly available human and mouse RNA sequencing (RNA-seq) samples uniformly processed by our new Monorail analysis pipeline. To facilitate access to the data, we provide the recount3 and snapcount R/Bioconductor packages as well as complementary web resources. Using these tools, data can be downloaded as study-level summaries or queried for specific exon-exon junctions, genes, samples, or other features. Monorail can be used to process local and/or private data, allowing results to be directly compared to any study in recount3. Taken together, our tools help biologists maximize the utility of publicly available RNA-seq data, especially to improve their understanding of newly collected data. recount3 is available from http://rna.recount.bio.","container-title":"Genome Biology","DOI":"10.1186/s13059-021-02533-6","ISSN":"1474-760X","issue":"1","journalAbbreviation":"Genome Biology","page":"323","source":"BioMed Central","title":"recount3: summaries and queries for large-scale RNA-seq expression and splicing","title-short":"recount3","volume":"22","author":[{"family":"Wilks","given":"Christopher"},{"family":"Zheng","given":"Shijie C."},{"family":"Chen","given":"Feng Yong"},{"family":"Charles","given":"Rone"},{"family":"Solomon","given":"Brad"},{"family":"Ling","given":"Jonathan P."},{"family":"Imada","given":"Eddie Luidy"},{"family":"Zhang","given":"David"},{"family":"Joseph","given":"Lance"},{"family":"Leek","given":"Jeffrey T."},{"family":"Jaffe","given":"Andrew E."},{"family":"Nellore","given":"Abhinav"},{"family":"Collado-Torres","given":"Leonardo"},{"family":"Hansen","given":"Kasper D."},{"family":"Langmead","given":"Ben"}],"issued":{"date-parts":[["2021",11,29]]}}}],"schema":"https://github.com/citation-style-language/schema/raw/master/csl-citation.json"} </w:instrText>
      </w:r>
      <w:r w:rsidR="0065762E">
        <w:rPr>
          <w:rFonts w:ascii="Arial" w:hAnsi="Arial" w:cs="Arial"/>
        </w:rPr>
        <w:fldChar w:fldCharType="separate"/>
      </w:r>
      <w:r w:rsidR="004127CE" w:rsidRPr="004127CE">
        <w:rPr>
          <w:rFonts w:ascii="Arial" w:hAnsi="Arial" w:cs="Arial"/>
          <w:szCs w:val="24"/>
          <w:vertAlign w:val="superscript"/>
        </w:rPr>
        <w:t>28</w:t>
      </w:r>
      <w:r w:rsidR="0065762E">
        <w:rPr>
          <w:rFonts w:ascii="Arial" w:hAnsi="Arial" w:cs="Arial"/>
        </w:rPr>
        <w:fldChar w:fldCharType="end"/>
      </w:r>
      <w:r w:rsidRPr="002B47E2">
        <w:rPr>
          <w:rFonts w:ascii="Arial" w:hAnsi="Arial" w:cs="Arial"/>
        </w:rPr>
        <w:t xml:space="preserve">, removing loci with intragenic novel junction support above predefined thresholds (see Methods). TSS consistency was evaluated with </w:t>
      </w:r>
      <w:proofErr w:type="spellStart"/>
      <w:r w:rsidRPr="002B47E2">
        <w:rPr>
          <w:rFonts w:ascii="Arial" w:hAnsi="Arial" w:cs="Arial"/>
        </w:rPr>
        <w:t>refTSS</w:t>
      </w:r>
      <w:proofErr w:type="spellEnd"/>
      <w:r w:rsidRPr="002B47E2">
        <w:rPr>
          <w:rFonts w:ascii="Arial" w:hAnsi="Arial" w:cs="Arial"/>
        </w:rPr>
        <w:t xml:space="preserve"> (integrating FANTOM5, DBTSS, </w:t>
      </w:r>
      <w:proofErr w:type="spellStart"/>
      <w:r w:rsidRPr="002B47E2">
        <w:rPr>
          <w:rFonts w:ascii="Arial" w:hAnsi="Arial" w:cs="Arial"/>
        </w:rPr>
        <w:t>EPDnew</w:t>
      </w:r>
      <w:proofErr w:type="spellEnd"/>
      <w:r w:rsidRPr="002B47E2">
        <w:rPr>
          <w:rFonts w:ascii="Arial" w:hAnsi="Arial" w:cs="Arial"/>
        </w:rPr>
        <w:t>, ENCODE)</w:t>
      </w:r>
      <w:r w:rsidR="004127CE">
        <w:rPr>
          <w:rFonts w:ascii="Arial" w:hAnsi="Arial" w:cs="Arial"/>
        </w:rPr>
        <w:fldChar w:fldCharType="begin"/>
      </w:r>
      <w:r w:rsidR="008C79C8">
        <w:rPr>
          <w:rFonts w:ascii="Arial" w:hAnsi="Arial" w:cs="Arial"/>
        </w:rPr>
        <w:instrText xml:space="preserve"> ADDIN ZOTERO_ITEM CSL_CITATION {"citationID":"hfZ1l3U0","properties":{"formattedCitation":"\\super 33\\nosupersub{}","plainCitation":"33","noteIndex":0},"citationItems":[{"id":55,"uris":["http://zotero.org/users/local/fy8HeEeu/items/K466YU8L"],"itemData":{"id":55,"type":"article-journal","abstract":"Transcription starts at genomic positions called transcription start sites (TSSs), producing RNAs, and is mainly regulated by genomic elements and transcription factors binding around these TSSs. This indicates that TSSs may be a better unit to integrate various data sources related to transcriptional events, including regulation and production of RNAs. However, although several TSS datasets and promoter atlases are available, a comprehensive reference set that integrates all known TSSs is lacking. Thus, we constructed a reference dataset of TSSs (refTSS) for the human and mouse genomes by collecting publicly available TSS annotations and promoter resources, such as FANTOM5, DBTSS, EPDnew, and ENCODE. The data set consists of genomic coordinates of TSS peaks, their gene annotations, quality check results, and conservation between human and mouse. We also developed a web interface to browse the refTSS (http://reftss.clst.riken.jp/). Users can access the resource for collecting and integrating data and information about transcriptional regulation and transcription products.","collection-title":"Computation Resources for Molecular Biology","container-title":"Journal of Molecular Biology","DOI":"10.1016/j.jmb.2019.04.045","ISSN":"0022-2836","issue":"13","journalAbbreviation":"Journal of Molecular Biology","page":"2407-2422","source":"ScienceDirect","title":"refTSS: A Reference Data Set for Human and Mouse Transcription Start Sites","title-short":"refTSS","volume":"431","author":[{"family":"Abugessaisa","given":"Imad"},{"family":"Noguchi","given":"Shuhei"},{"family":"Hasegawa","given":"Akira"},{"family":"Kondo","given":"Atsushi"},{"family":"Kawaji","given":"Hideya"},{"family":"Carninci","given":"Piero"},{"family":"Kasukawa","given":"Takeya"}],"issued":{"date-parts":[["2019",6,14]]}}}],"schema":"https://github.com/citation-style-language/schema/raw/master/csl-citation.json"} </w:instrText>
      </w:r>
      <w:r w:rsidR="004127CE">
        <w:rPr>
          <w:rFonts w:ascii="Arial" w:hAnsi="Arial" w:cs="Arial"/>
        </w:rPr>
        <w:fldChar w:fldCharType="separate"/>
      </w:r>
      <w:r w:rsidR="008C79C8" w:rsidRPr="008C79C8">
        <w:rPr>
          <w:rFonts w:ascii="Arial" w:hAnsi="Arial" w:cs="Arial"/>
          <w:szCs w:val="24"/>
          <w:vertAlign w:val="superscript"/>
        </w:rPr>
        <w:t>33</w:t>
      </w:r>
      <w:r w:rsidR="004127CE">
        <w:rPr>
          <w:rFonts w:ascii="Arial" w:hAnsi="Arial" w:cs="Arial"/>
        </w:rPr>
        <w:fldChar w:fldCharType="end"/>
      </w:r>
      <w:r w:rsidRPr="002B47E2">
        <w:rPr>
          <w:rFonts w:ascii="Arial" w:hAnsi="Arial" w:cs="Arial"/>
        </w:rPr>
        <w:t>; in human we applied both exon-overlap and ±300 bp CAGE-window checks, and in mouse we required the exon-overlap rule for single-exon genes (Methods).</w:t>
      </w:r>
    </w:p>
    <w:p w14:paraId="0B730699" w14:textId="34C08E5B" w:rsidR="002B47E2" w:rsidRPr="002B47E2" w:rsidRDefault="002B47E2" w:rsidP="002B47E2">
      <w:pPr>
        <w:spacing w:before="100" w:beforeAutospacing="1" w:after="100" w:afterAutospacing="1"/>
        <w:rPr>
          <w:rFonts w:ascii="Arial" w:hAnsi="Arial" w:cs="Arial"/>
        </w:rPr>
      </w:pPr>
      <w:r w:rsidRPr="002B47E2">
        <w:rPr>
          <w:rFonts w:ascii="Arial" w:hAnsi="Arial" w:cs="Arial" w:hint="eastAsia"/>
        </w:rPr>
        <w:t xml:space="preserve">Expression breadth was defined using </w:t>
      </w:r>
      <w:proofErr w:type="spellStart"/>
      <w:r w:rsidRPr="002B47E2">
        <w:rPr>
          <w:rFonts w:ascii="Arial" w:hAnsi="Arial" w:cs="Arial" w:hint="eastAsia"/>
        </w:rPr>
        <w:t>Bgee</w:t>
      </w:r>
      <w:proofErr w:type="spellEnd"/>
      <w:r w:rsidRPr="002B47E2">
        <w:rPr>
          <w:rFonts w:ascii="Arial" w:hAnsi="Arial" w:cs="Arial" w:hint="eastAsia"/>
        </w:rPr>
        <w:t xml:space="preserve"> present/absent calls with stringent prevalence cutoffs (human </w:t>
      </w:r>
      <w:r w:rsidRPr="002B47E2">
        <w:rPr>
          <w:rFonts w:ascii="Arial" w:hAnsi="Arial" w:cs="Arial" w:hint="eastAsia"/>
        </w:rPr>
        <w:t>≥</w:t>
      </w:r>
      <w:r w:rsidRPr="002B47E2">
        <w:rPr>
          <w:rFonts w:ascii="Arial" w:hAnsi="Arial" w:cs="Arial" w:hint="eastAsia"/>
        </w:rPr>
        <w:t xml:space="preserve">99% of retained tissues; mouse </w:t>
      </w:r>
      <w:r w:rsidRPr="002B47E2">
        <w:rPr>
          <w:rFonts w:ascii="Arial" w:hAnsi="Arial" w:cs="Arial" w:hint="eastAsia"/>
        </w:rPr>
        <w:t>≥</w:t>
      </w:r>
      <w:r w:rsidRPr="002B47E2">
        <w:rPr>
          <w:rFonts w:ascii="Arial" w:hAnsi="Arial" w:cs="Arial" w:hint="eastAsia"/>
        </w:rPr>
        <w:t>90%), reinforced by housekeeping genes from HRT Atlas</w:t>
      </w:r>
      <w:r w:rsidR="008C79C8">
        <w:rPr>
          <w:rFonts w:ascii="Arial" w:hAnsi="Arial" w:cs="Arial"/>
        </w:rPr>
        <w:fldChar w:fldCharType="begin"/>
      </w:r>
      <w:r w:rsidR="00F211BD">
        <w:rPr>
          <w:rFonts w:ascii="Arial" w:hAnsi="Arial" w:cs="Arial"/>
        </w:rPr>
        <w:instrText xml:space="preserve"> ADDIN ZOTERO_ITEM CSL_CITATION {"citationID":"8FbKT32U","properties":{"formattedCitation":"\\super 34,35\\nosupersub{}","plainCitation":"34,35","noteIndex":0},"citationItems":[{"id":203,"uris":["http://zotero.org/users/local/fy8HeEeu/items/P66BREBA"],"itemData":{"id":203,"type":"article-journal","abstract":"Bgee is a database to retrieve and compare gene expression patterns in multiple animal species, produced by integrating multiple data types (RNA-Seq, Affymetrix, in situ hybridization, and EST data). It is based exclusively on curated healthy wild-type expression data (e.g., no gene knock-out, no treatment, no disease), to provide a comparable reference of normal gene expression. Curation includes very large datasets such as GTEx (re-annotation of samples as 'healthy' or not) as well as many small ones. Data are integrated and made comparable between species thanks to consistent data annotation and processing, and to calls of presence/absence of expression, along with expression scores. As a result, Bgee is capable of detecting the conditions of expression of any single gene, accommodating any data type and species. Bgee provides several tools for analyses, allowing, e.g., automated comparisons of gene expression patterns within and between species, retrieval of the prefered conditions of expression of any gene, or enrichment analyses of conditions with expression of sets of genes. Bgee release 14.1 includes 29 animal species, and is available at https://bgee.org/ and through its Bioconductor R package BgeeDB.","container-title":"Nucleic Acids Research","DOI":"10.1093/nar/gkaa793","ISSN":"1362-4962","issue":"D1","journalAbbreviation":"Nucleic Acids Res","language":"eng","note":"PMID: 33037820\nPMCID: PMC7778977","page":"D831-D847","source":"PubMed","title":"The Bgee suite: integrated curated expression atlas and comparative transcriptomics in animals","title-short":"The Bgee suite","volume":"49","author":[{"family":"Bastian","given":"Frederic B."},{"family":"Roux","given":"Julien"},{"family":"Niknejad","given":"Anne"},{"family":"Comte","given":"Aurélie"},{"family":"Fonseca Costa","given":"Sara S."},{"family":"Farias","given":"Tarcisio Mendes","non-dropping-particle":"de"},{"family":"Moretti","given":"Sébastien"},{"family":"Parmentier","given":"Gilles"},{"family":"Laval","given":"Valentine Rech","non-dropping-particle":"de"},{"family":"Rosikiewicz","given":"Marta"},{"family":"Wollbrett","given":"Julien"},{"family":"Echchiki","given":"Amina"},{"family":"Escoriza","given":"Angélique"},{"family":"Gharib","given":"Walid H."},{"family":"Gonzales-Porta","given":"Mar"},{"family":"Jarosz","given":"Yohan"},{"family":"Laurenczy","given":"Balazs"},{"family":"Moret","given":"Philippe"},{"family":"Person","given":"Emilie"},{"family":"Roelli","given":"Patrick"},{"family":"Sanjeev","given":"Komal"},{"family":"Seppey","given":"Mathieu"},{"family":"Robinson-Rechavi","given":"Marc"}],"issued":{"date-parts":[["2021",1,8]]}}},{"id":49,"uris":["http://zotero.org/users/local/fy8HeEeu/items/EQGJKYDJ"],"itemData":{"id":49,"type":"article-journal","abstract":"Housekeeping (HK) genes are constitutively expressed genes that are required for the maintenance of basic cellular functions. Despite their importance in the calibration of gene expression, as well as the understanding of many genomic and evolutionary features, important discrepancies have been observed in studies that previously identified these genes. Here, we present Housekeeping and Reference Transcript Atlas (HRT Atlas v1.0, www.housekeeping.unicamp.br) a web-based database which addresses some of the previously observed limitations in the identification of these genes, and offers a more accurate database of human and mouse HK genes and transcripts. The database was generated by mining massive human and mouse RNA-seq data sets, including 11 281 and 507 high-quality RNA-seq samples from 52 human non-disease tissues/cells and 14 healthy tissues/cells of C57BL/6 wild type mouse, respectively. User can visualize the expression and download lists of 2158 human HK transcripts from 2176 HK genes and 3024 mouse HK transcripts from 3277 mouse HK genes. HRT Atlas also offers the most stable and suitable tissue selective candidate reference transcripts for normalization of qPCR experiments. Specific primers and predicted modifiers of gene expression for some of these HK transcripts are also proposed. HRT Atlas has also been integrated with a regulatory elements resource from Epiregio server., \nGraphical AbstractThe workflow of database generation and web-tool implementation are shown. After downloading and identification of HK genes and transcripts using a specific algorithm, transcripts of genes with unknown pseudogenes were used to select suitable candidate reference transcripts. Some candidate reference transcript-specific primers were designed. The web-based tool was developed using Shiny package and encapsulated into docker image for deployment.","container-title":"Nucleic Acids Research","DOI":"10.1093/nar/gkaa609","ISSN":"0305-1048","issue":"D1","journalAbbreviation":"Nucleic Acids Res","note":"PMID: 32663312\nPMCID: PMC7778946","page":"D947-D955","source":"PubMed Central","title":"HRT Atlas v1.0 database: redefining human and mouse housekeeping genes and candidate reference transcripts by mining massive RNA-seq datasets","title-short":"HRT Atlas v1.0 database","volume":"49","author":[{"family":"Hounkpe","given":"Bidossessi Wilfried"},{"family":"Chenou","given":"Francine"},{"family":"de Lima","given":"Franciele"},{"family":"De Paula","given":"Erich Vinicius"}],"issued":{"date-parts":[["2020",7,14]]}}}],"schema":"https://github.com/citation-style-language/schema/raw/master/csl-citation.json"} </w:instrText>
      </w:r>
      <w:r w:rsidR="008C79C8">
        <w:rPr>
          <w:rFonts w:ascii="Arial" w:hAnsi="Arial" w:cs="Arial"/>
        </w:rPr>
        <w:fldChar w:fldCharType="separate"/>
      </w:r>
      <w:r w:rsidR="00F211BD" w:rsidRPr="00F211BD">
        <w:rPr>
          <w:rFonts w:ascii="Arial" w:hAnsi="Arial" w:cs="Arial"/>
          <w:szCs w:val="24"/>
          <w:vertAlign w:val="superscript"/>
        </w:rPr>
        <w:t>34,35</w:t>
      </w:r>
      <w:r w:rsidR="008C79C8">
        <w:rPr>
          <w:rFonts w:ascii="Arial" w:hAnsi="Arial" w:cs="Arial"/>
        </w:rPr>
        <w:fldChar w:fldCharType="end"/>
      </w:r>
      <w:r w:rsidRPr="002B47E2">
        <w:rPr>
          <w:rFonts w:ascii="Arial" w:hAnsi="Arial" w:cs="Arial" w:hint="eastAsia"/>
        </w:rPr>
        <w:t>; tissue panels were derived analogously (Methods). To further f</w:t>
      </w:r>
      <w:r w:rsidRPr="002B47E2">
        <w:rPr>
          <w:rFonts w:ascii="Arial" w:hAnsi="Arial" w:cs="Arial"/>
        </w:rPr>
        <w:t xml:space="preserve">avor widely expressed, splice-invariant loci, we applied </w:t>
      </w:r>
      <w:proofErr w:type="spellStart"/>
      <w:r w:rsidRPr="002B47E2">
        <w:rPr>
          <w:rFonts w:ascii="Arial" w:hAnsi="Arial" w:cs="Arial"/>
        </w:rPr>
        <w:t>AlphaGenome</w:t>
      </w:r>
      <w:proofErr w:type="spellEnd"/>
      <w:r w:rsidRPr="002B47E2">
        <w:rPr>
          <w:rFonts w:ascii="Arial" w:hAnsi="Arial" w:cs="Arial"/>
        </w:rPr>
        <w:t xml:space="preserve"> filters on two metrics—Expression (tissue-median RPKM) and Splicing (maximum novel-splicing score/ratio)—using fixed species-specific cutoffs</w:t>
      </w:r>
      <w:r w:rsidR="00A457AD">
        <w:rPr>
          <w:rFonts w:ascii="Arial" w:hAnsi="Arial" w:cs="Arial"/>
        </w:rPr>
        <w:fldChar w:fldCharType="begin"/>
      </w:r>
      <w:r w:rsidR="00E16A68">
        <w:rPr>
          <w:rFonts w:ascii="Arial" w:hAnsi="Arial" w:cs="Arial"/>
        </w:rPr>
        <w:instrText xml:space="preserve"> ADDIN ZOTERO_ITEM CSL_CITATION {"citationID":"1pDpAHI4","properties":{"formattedCitation":"\\super 36\\nosupersub{}","plainCitation":"36","noteIndex":0},"citationItems":[{"id":219,"uris":["http://zotero.org/users/local/fy8HeEeu/items/Q5H9MBBA"],"itemData":{"id":219,"type":"article","abstract":"Deep learning models that predict functional genomic measurements from DNA sequence are powerful tools for deciphering the genetic regulatory code. Existing methods trade off between input sequence length and prediction resolution, thereby limiting their modality scope and performance. We present AlphaGenome, which takes as input 1 megabase of DNA sequence and predicts thousands of functional genomic tracks up to single base pair resolution across diverse modalities – including gene expression, transcription initiation, chromatin accessibility, histone modifications, transcription factor binding, chro- matin contact maps, splice site usage, and splice junction coordinates and strength. Trained on human and mouse genomes, AlphaGenome matches or exceeds the strongest respective available external models on 24 out of 26 evaluations on variant effect prediction. AlphaGenome’s ability to simultaneously score variant effects across all modalities accurately recapitulates the mechanisms of clinically-relevant variants near the TAL1 oncogene. To facilitate broader use, we provide tools for making genome track and variant effect predictions from sequence.","DOI":"10.1101/2025.06.25.661532","language":"en","license":"© 2025, Posted by Cold Spring Harbor Laboratory. This pre-print is available under a Creative Commons License (Attribution-NonCommercial 4.0 International), CC BY-NC 4.0, as described at http://creativecommons.org/licenses/by-nc/4.0/","note":"ISSN: 2692-8205\npage: 2025.06.25.661532\nsection: New Results","publisher":"bioRxiv","source":"bioRxiv","title":"AlphaGenome: advancing regulatory variant effect prediction with a unified DNA sequence model","title-short":"AlphaGenome","URL":"https://www.biorxiv.org/content/10.1101/2025.06.25.661532v2","author":[{"family":"Avsec","given":"Žiga"},{"family":"Latysheva","given":"Natasha"},{"family":"Cheng","given":"Jun"},{"family":"Novati","given":"Guido"},{"family":"Taylor","given":"Kyle R."},{"family":"Ward","given":"Tom"},{"family":"Bycroft","given":"Clare"},{"family":"Nicolaisen","given":"Lauren"},{"family":"Arvaniti","given":"Eirini"},{"family":"Pan","given":"Joshua"},{"family":"Thomas","given":"Raina"},{"family":"Dutordoir","given":"Vincent"},{"family":"Perino","given":"Matteo"},{"family":"De","given":"Soham"},{"family":"Karollus","given":"Alexander"},{"family":"Gayoso","given":"Adam"},{"family":"Sargeant","given":"Toby"},{"family":"Mottram","given":"Anne"},{"family":"Wong","given":"Lai Hong"},{"family":"Drotár","given":"Pavol"},{"family":"Kosiorek","given":"Adam"},{"family":"Senior","given":"Andrew"},{"family":"Tanburn","given":"Richard"},{"family":"Applebaum","given":"Taylor"},{"family":"Basu","given":"Souradeep"},{"family":"Hassabis","given":"Demis"},{"family":"Kohli","given":"Pushmeet"}],"accessed":{"date-parts":[["2025",8,14]]},"issued":{"date-parts":[["2025",7,11]]}}}],"schema":"https://github.com/citation-style-language/schema/raw/master/csl-citation.json"} </w:instrText>
      </w:r>
      <w:r w:rsidR="00A457AD">
        <w:rPr>
          <w:rFonts w:ascii="Arial" w:hAnsi="Arial" w:cs="Arial"/>
        </w:rPr>
        <w:fldChar w:fldCharType="separate"/>
      </w:r>
      <w:r w:rsidR="00E16A68" w:rsidRPr="00E16A68">
        <w:rPr>
          <w:rFonts w:ascii="Arial" w:hAnsi="Arial" w:cs="Arial"/>
          <w:szCs w:val="24"/>
          <w:vertAlign w:val="superscript"/>
        </w:rPr>
        <w:t>36</w:t>
      </w:r>
      <w:r w:rsidR="00A457AD">
        <w:rPr>
          <w:rFonts w:ascii="Arial" w:hAnsi="Arial" w:cs="Arial"/>
        </w:rPr>
        <w:fldChar w:fldCharType="end"/>
      </w:r>
      <w:r w:rsidRPr="002B47E2">
        <w:rPr>
          <w:rFonts w:ascii="Arial" w:hAnsi="Arial" w:cs="Arial"/>
        </w:rPr>
        <w:t>. Remaining edge cases underwent manual review by GENCODE curators.</w:t>
      </w:r>
    </w:p>
    <w:p w14:paraId="4E5FCB4C" w14:textId="3F2941F8" w:rsidR="3AB00C23" w:rsidRPr="00DA70A9" w:rsidRDefault="002B47E2" w:rsidP="00572C7D">
      <w:pPr>
        <w:spacing w:before="100" w:beforeAutospacing="1" w:after="100" w:afterAutospacing="1"/>
        <w:rPr>
          <w:rFonts w:ascii="Arial" w:hAnsi="Arial" w:cs="Arial"/>
        </w:rPr>
      </w:pPr>
      <w:r w:rsidRPr="002B47E2">
        <w:rPr>
          <w:rFonts w:ascii="Arial" w:hAnsi="Arial" w:cs="Arial"/>
        </w:rPr>
        <w:t>This process yielded tissue-resolved TUSCO gene sets (human: 65–187 per tissue; mouse: 28–67) and universal cores (human n = 57; mouse n = 30) consistently expressed across all tested tissues (</w:t>
      </w:r>
      <w:r w:rsidR="00743254">
        <w:rPr>
          <w:rFonts w:ascii="Arial" w:hAnsi="Arial" w:cs="Arial"/>
        </w:rPr>
        <w:t>Figure</w:t>
      </w:r>
      <w:r w:rsidRPr="002B47E2">
        <w:rPr>
          <w:rFonts w:ascii="Arial" w:hAnsi="Arial" w:cs="Arial"/>
        </w:rPr>
        <w:t xml:space="preserve"> 1</w:t>
      </w:r>
      <w:proofErr w:type="gramStart"/>
      <w:r w:rsidRPr="002B47E2">
        <w:rPr>
          <w:rFonts w:ascii="Arial" w:hAnsi="Arial" w:cs="Arial"/>
        </w:rPr>
        <w:t>a,b</w:t>
      </w:r>
      <w:proofErr w:type="gramEnd"/>
      <w:r w:rsidRPr="002B47E2">
        <w:rPr>
          <w:rFonts w:ascii="Arial" w:hAnsi="Arial" w:cs="Arial"/>
        </w:rPr>
        <w:t xml:space="preserve">). Compared with reference annotations and spike-ins, TUSCO spans endogenous size/structure ranges relevant for full-length detection: transcripts are comparable to </w:t>
      </w:r>
      <w:proofErr w:type="spellStart"/>
      <w:r w:rsidRPr="002B47E2">
        <w:rPr>
          <w:rFonts w:ascii="Arial" w:hAnsi="Arial" w:cs="Arial"/>
        </w:rPr>
        <w:t>RefSeq</w:t>
      </w:r>
      <w:proofErr w:type="spellEnd"/>
      <w:r w:rsidRPr="002B47E2">
        <w:rPr>
          <w:rFonts w:ascii="Arial" w:hAnsi="Arial" w:cs="Arial"/>
        </w:rPr>
        <w:t xml:space="preserve"> and longer than SIRVs/ERCCs; sets include both single- and multi-exon loci (</w:t>
      </w:r>
      <w:r w:rsidR="00743254">
        <w:rPr>
          <w:rFonts w:ascii="Arial" w:hAnsi="Arial" w:cs="Arial"/>
        </w:rPr>
        <w:t>Figure</w:t>
      </w:r>
      <w:r w:rsidRPr="002B47E2">
        <w:rPr>
          <w:rFonts w:ascii="Arial" w:hAnsi="Arial" w:cs="Arial"/>
        </w:rPr>
        <w:t xml:space="preserve"> 1c; </w:t>
      </w:r>
      <w:r w:rsidR="00743254">
        <w:rPr>
          <w:rFonts w:ascii="Arial" w:hAnsi="Arial" w:cs="Arial"/>
        </w:rPr>
        <w:t>Figure</w:t>
      </w:r>
      <w:r w:rsidRPr="002B47E2">
        <w:rPr>
          <w:rFonts w:ascii="Arial" w:hAnsi="Arial" w:cs="Arial"/>
        </w:rPr>
        <w:t xml:space="preserve"> S1). TUSCO genes also show expression distributions </w:t>
      </w:r>
      <w:proofErr w:type="gramStart"/>
      <w:r w:rsidRPr="002B47E2">
        <w:rPr>
          <w:rFonts w:ascii="Arial" w:hAnsi="Arial" w:cs="Arial"/>
        </w:rPr>
        <w:t>similar to</w:t>
      </w:r>
      <w:proofErr w:type="gramEnd"/>
      <w:r w:rsidRPr="002B47E2">
        <w:rPr>
          <w:rFonts w:ascii="Arial" w:hAnsi="Arial" w:cs="Arial"/>
        </w:rPr>
        <w:t xml:space="preserve"> highly expressed genes across tissues (</w:t>
      </w:r>
      <w:r w:rsidR="00743254">
        <w:rPr>
          <w:rFonts w:ascii="Arial" w:hAnsi="Arial" w:cs="Arial"/>
        </w:rPr>
        <w:t>Figure</w:t>
      </w:r>
      <w:r w:rsidRPr="002B47E2">
        <w:rPr>
          <w:rFonts w:ascii="Arial" w:hAnsi="Arial" w:cs="Arial"/>
        </w:rPr>
        <w:t xml:space="preserve"> 1d) and, by </w:t>
      </w:r>
      <w:proofErr w:type="spellStart"/>
      <w:r w:rsidRPr="002B47E2">
        <w:rPr>
          <w:rFonts w:ascii="Arial" w:hAnsi="Arial" w:cs="Arial"/>
        </w:rPr>
        <w:t>AlphaGenome</w:t>
      </w:r>
      <w:proofErr w:type="spellEnd"/>
      <w:r w:rsidRPr="002B47E2">
        <w:rPr>
          <w:rFonts w:ascii="Arial" w:hAnsi="Arial" w:cs="Arial"/>
        </w:rPr>
        <w:t>, higher Expression and lower novel-splicing scores than other single-isoform genes (</w:t>
      </w:r>
      <w:r w:rsidR="00743254">
        <w:rPr>
          <w:rFonts w:ascii="Arial" w:hAnsi="Arial" w:cs="Arial"/>
        </w:rPr>
        <w:t>Figure</w:t>
      </w:r>
      <w:r w:rsidRPr="002B47E2">
        <w:rPr>
          <w:rFonts w:ascii="Arial" w:hAnsi="Arial" w:cs="Arial"/>
        </w:rPr>
        <w:t xml:space="preserve"> S2). Together, these properties support TUSCO as an endogenous, broadly expressed, splice-invariant ground truth for benchmarking transcript identification and completeness in long-read data.</w:t>
      </w:r>
    </w:p>
    <w:p w14:paraId="1B28278B" w14:textId="31E8E9CD" w:rsidR="00A43FA3" w:rsidRPr="00DA70A9" w:rsidRDefault="00A20B5E" w:rsidP="006C7777">
      <w:pPr>
        <w:spacing w:before="100" w:beforeAutospacing="1" w:after="100" w:afterAutospacing="1"/>
        <w:rPr>
          <w:rFonts w:ascii="Arial" w:hAnsi="Arial" w:cs="Arial"/>
          <w:i/>
          <w:iCs/>
        </w:rPr>
      </w:pPr>
      <w:r w:rsidRPr="00DA70A9">
        <w:rPr>
          <w:rFonts w:ascii="Arial" w:hAnsi="Arial" w:cs="Arial"/>
          <w:i/>
          <w:iCs/>
        </w:rPr>
        <w:t>TUSCO</w:t>
      </w:r>
      <w:r w:rsidR="00A43FA3" w:rsidRPr="00DA70A9">
        <w:rPr>
          <w:rFonts w:ascii="Arial" w:hAnsi="Arial" w:cs="Arial"/>
          <w:i/>
          <w:iCs/>
        </w:rPr>
        <w:t>-SQANTI3: A Unified Framework for Transcript Benchmarking</w:t>
      </w:r>
    </w:p>
    <w:p w14:paraId="62F472C8" w14:textId="71C1DE6D" w:rsidR="00B70CF8" w:rsidRDefault="3AB00C23" w:rsidP="006C7777">
      <w:pPr>
        <w:spacing w:beforeAutospacing="1" w:afterAutospacing="1"/>
        <w:rPr>
          <w:rFonts w:ascii="Arial" w:hAnsi="Arial" w:cs="Arial"/>
        </w:rPr>
      </w:pPr>
      <w:r w:rsidRPr="00DA70A9">
        <w:rPr>
          <w:rFonts w:ascii="Arial" w:hAnsi="Arial" w:cs="Arial"/>
        </w:rPr>
        <w:t>TUSCO leverages the SQANTI3 framework to assign LRS transcript models to benchmarking labels (</w:t>
      </w:r>
      <w:r w:rsidR="00743254">
        <w:rPr>
          <w:rFonts w:ascii="Arial" w:hAnsi="Arial" w:cs="Arial"/>
        </w:rPr>
        <w:t>Figure</w:t>
      </w:r>
      <w:r w:rsidR="00625F46">
        <w:rPr>
          <w:rFonts w:ascii="Arial" w:hAnsi="Arial" w:cs="Arial"/>
        </w:rPr>
        <w:t xml:space="preserve"> </w:t>
      </w:r>
      <w:r w:rsidRPr="00DA70A9">
        <w:rPr>
          <w:rFonts w:ascii="Arial" w:hAnsi="Arial" w:cs="Arial"/>
        </w:rPr>
        <w:t xml:space="preserve">2b). Hence, True Positives (TP) are TUSCO transcripts correctly identified by SQANTI3 as Reference Match (RM), i.e. transcript models matching a reference transcript at all junctions, and 5´ and 3´ ends within 50 </w:t>
      </w:r>
      <w:proofErr w:type="spellStart"/>
      <w:r w:rsidRPr="00DA70A9">
        <w:rPr>
          <w:rFonts w:ascii="Arial" w:hAnsi="Arial" w:cs="Arial"/>
        </w:rPr>
        <w:t>nt</w:t>
      </w:r>
      <w:proofErr w:type="spellEnd"/>
      <w:r w:rsidRPr="00DA70A9">
        <w:rPr>
          <w:rFonts w:ascii="Arial" w:hAnsi="Arial" w:cs="Arial"/>
        </w:rPr>
        <w:t xml:space="preserve"> from the annotated TSS or TTS, respectively. Partial True Positives (PTP) include transcripts classified as non-RM full-splice match (FSM) or incomplete-splice matches (ISM), implying significant deviations from the </w:t>
      </w:r>
      <w:r w:rsidR="00823C67">
        <w:rPr>
          <w:rFonts w:ascii="Arial" w:hAnsi="Arial" w:cs="Arial"/>
        </w:rPr>
        <w:t>reference</w:t>
      </w:r>
      <w:r w:rsidRPr="00DA70A9">
        <w:rPr>
          <w:rFonts w:ascii="Arial" w:hAnsi="Arial" w:cs="Arial"/>
        </w:rPr>
        <w:t xml:space="preserve"> start or end positions, indicating RNA degradation or incomplete sequencing. False Negatives (FN) represent TUSCO transcripts that remain undetected at the gene level, possibly reflecting insufficient sequencing depth or biases in RNA capture. False Positives (FP) are transcripts mapped to TUSCO genes as Novel in Catalog (NIC), Novel not in Catalog (NNC), Genic Intron, Genic Genomic, or Fusion events, which may arise from sequencing artifacts, wrong transcript reconstruction or mapping errors. </w:t>
      </w:r>
    </w:p>
    <w:p w14:paraId="2DA3A17C" w14:textId="64A86C8B" w:rsidR="00FE1481" w:rsidRPr="00DA70A9" w:rsidRDefault="3AB00C23" w:rsidP="006C7777">
      <w:pPr>
        <w:spacing w:beforeAutospacing="1" w:afterAutospacing="1"/>
        <w:rPr>
          <w:rFonts w:ascii="Arial" w:hAnsi="Arial" w:cs="Arial"/>
        </w:rPr>
      </w:pPr>
      <w:r w:rsidRPr="00DA70A9">
        <w:rPr>
          <w:rFonts w:ascii="Arial" w:hAnsi="Arial" w:cs="Arial"/>
        </w:rPr>
        <w:t>These benchmarking labels allow for the calculation of standard performance metrics—Sensitivity, Precision</w:t>
      </w:r>
      <w:r w:rsidR="00B70CF8">
        <w:rPr>
          <w:rFonts w:ascii="Arial" w:hAnsi="Arial" w:cs="Arial"/>
        </w:rPr>
        <w:t xml:space="preserve">, </w:t>
      </w:r>
      <w:r w:rsidRPr="00DA70A9">
        <w:rPr>
          <w:rFonts w:ascii="Arial" w:hAnsi="Arial" w:cs="Arial"/>
        </w:rPr>
        <w:t xml:space="preserve">and Redundancy, which are provided in a dedicated TUSCO report. Seamlessly integrated with SQANTI3, TUSCO operates without requiring additional user input, enabling users to execute TUSCO analyses directly after completing SQANTI3 processing. The incorporation of the TUSCO report in the SQANTI3 results in an enhanced, comprehensive and unified quality control resource that both describes the properties of the long-reads data but also provides rigorous and standard performance metrics. Additionally, TUSCO enables a more complete assessment of the RNA sequencing workflow and capturing biases at every stage—from sample </w:t>
      </w:r>
      <w:r w:rsidR="00CD2D01">
        <w:rPr>
          <w:rFonts w:ascii="Arial" w:hAnsi="Arial" w:cs="Arial"/>
        </w:rPr>
        <w:t>preparation</w:t>
      </w:r>
      <w:r w:rsidRPr="00DA70A9">
        <w:rPr>
          <w:rFonts w:ascii="Arial" w:hAnsi="Arial" w:cs="Arial"/>
        </w:rPr>
        <w:t xml:space="preserve"> to RNA extraction, library preparation, sequencing, and transcript reconstruction—unlike synthetic spike-ins such as SIRVs, which only gauge library preparation, sequencing, and transcript reconstruction (</w:t>
      </w:r>
      <w:r w:rsidR="00743254">
        <w:rPr>
          <w:rFonts w:ascii="Arial" w:hAnsi="Arial" w:cs="Arial"/>
        </w:rPr>
        <w:t>Figure</w:t>
      </w:r>
      <w:r w:rsidR="00625F46">
        <w:rPr>
          <w:rFonts w:ascii="Arial" w:hAnsi="Arial" w:cs="Arial"/>
        </w:rPr>
        <w:t xml:space="preserve"> </w:t>
      </w:r>
      <w:r w:rsidRPr="00DA70A9">
        <w:rPr>
          <w:rFonts w:ascii="Arial" w:hAnsi="Arial" w:cs="Arial"/>
        </w:rPr>
        <w:t>2c).</w:t>
      </w:r>
    </w:p>
    <w:p w14:paraId="3D35D3B5" w14:textId="06FB027F" w:rsidR="003E5F89" w:rsidRPr="00DA70A9" w:rsidRDefault="003E5F89" w:rsidP="006C7777">
      <w:pPr>
        <w:spacing w:beforeAutospacing="1" w:afterAutospacing="1"/>
        <w:rPr>
          <w:rFonts w:ascii="Arial" w:hAnsi="Arial" w:cs="Arial"/>
        </w:rPr>
      </w:pPr>
      <w:r w:rsidRPr="00DA70A9">
        <w:rPr>
          <w:rFonts w:ascii="Arial" w:hAnsi="Arial" w:cs="Arial"/>
          <w:noProof/>
        </w:rPr>
        <w:lastRenderedPageBreak/>
        <w:drawing>
          <wp:inline distT="0" distB="0" distL="0" distR="0" wp14:anchorId="669B8977" wp14:editId="08306FA9">
            <wp:extent cx="5943600" cy="5518785"/>
            <wp:effectExtent l="0" t="0" r="0" b="5715"/>
            <wp:docPr id="38329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99317" name="Picture 383299317"/>
                    <pic:cNvPicPr/>
                  </pic:nvPicPr>
                  <pic:blipFill>
                    <a:blip r:embed="rId13"/>
                    <a:stretch>
                      <a:fillRect/>
                    </a:stretch>
                  </pic:blipFill>
                  <pic:spPr>
                    <a:xfrm>
                      <a:off x="0" y="0"/>
                      <a:ext cx="5943600" cy="5518785"/>
                    </a:xfrm>
                    <a:prstGeom prst="rect">
                      <a:avLst/>
                    </a:prstGeom>
                  </pic:spPr>
                </pic:pic>
              </a:graphicData>
            </a:graphic>
          </wp:inline>
        </w:drawing>
      </w:r>
    </w:p>
    <w:p w14:paraId="74B9B844" w14:textId="69CB749F" w:rsidR="00890ABD" w:rsidRPr="00DA70A9" w:rsidRDefault="79DAEAB0" w:rsidP="006C7777">
      <w:pPr>
        <w:spacing w:before="100" w:beforeAutospacing="1" w:after="100" w:afterAutospacing="1"/>
        <w:rPr>
          <w:rFonts w:ascii="Arial" w:hAnsi="Arial" w:cs="Arial"/>
        </w:rPr>
      </w:pPr>
      <w:commentRangeStart w:id="7"/>
      <w:r w:rsidRPr="00DA70A9">
        <w:rPr>
          <w:rFonts w:ascii="Arial" w:hAnsi="Arial" w:cs="Arial"/>
          <w:b/>
          <w:bCs/>
        </w:rPr>
        <w:t>Figure 2:</w:t>
      </w:r>
      <w:commentRangeEnd w:id="7"/>
      <w:r w:rsidR="000970F7">
        <w:rPr>
          <w:rStyle w:val="CommentReference"/>
        </w:rPr>
        <w:commentReference w:id="7"/>
      </w:r>
      <w:r w:rsidRPr="00DA70A9">
        <w:rPr>
          <w:rFonts w:ascii="Arial" w:hAnsi="Arial" w:cs="Arial"/>
          <w:b/>
          <w:bCs/>
        </w:rPr>
        <w:t xml:space="preserve"> Overview of TUSCO gene selection and benchmarking framework. </w:t>
      </w:r>
      <w:r w:rsidRPr="00DA70A9">
        <w:rPr>
          <w:rFonts w:ascii="Arial" w:hAnsi="Arial" w:cs="Arial"/>
        </w:rPr>
        <w:t>(a) Schematic illustration of the four-step pipeline for identifying single</w:t>
      </w:r>
      <w:r w:rsidRPr="00DA70A9">
        <w:rPr>
          <w:rFonts w:ascii="Cambria Math" w:hAnsi="Cambria Math" w:cs="Cambria Math"/>
        </w:rPr>
        <w:t>‐</w:t>
      </w:r>
      <w:r w:rsidRPr="00DA70A9">
        <w:rPr>
          <w:rFonts w:ascii="Arial" w:hAnsi="Arial" w:cs="Arial"/>
        </w:rPr>
        <w:t>isoform genes suitable for benchmarking. Candidate genes are cross</w:t>
      </w:r>
      <w:r w:rsidRPr="00DA70A9">
        <w:rPr>
          <w:rFonts w:ascii="Cambria Math" w:hAnsi="Cambria Math" w:cs="Cambria Math"/>
        </w:rPr>
        <w:t>‐</w:t>
      </w:r>
      <w:r w:rsidRPr="00DA70A9">
        <w:rPr>
          <w:rFonts w:ascii="Arial" w:hAnsi="Arial" w:cs="Arial"/>
        </w:rPr>
        <w:t xml:space="preserve">referenced across multiple annotation databases (MANE, </w:t>
      </w:r>
      <w:proofErr w:type="spellStart"/>
      <w:r w:rsidRPr="00DA70A9">
        <w:rPr>
          <w:rFonts w:ascii="Arial" w:hAnsi="Arial" w:cs="Arial"/>
        </w:rPr>
        <w:t>RefSeq</w:t>
      </w:r>
      <w:proofErr w:type="spellEnd"/>
      <w:r w:rsidRPr="00DA70A9">
        <w:rPr>
          <w:rFonts w:ascii="Arial" w:hAnsi="Arial" w:cs="Arial"/>
        </w:rPr>
        <w:t xml:space="preserve">, </w:t>
      </w:r>
      <w:proofErr w:type="spellStart"/>
      <w:r w:rsidRPr="00DA70A9">
        <w:rPr>
          <w:rFonts w:ascii="Arial" w:hAnsi="Arial" w:cs="Arial"/>
        </w:rPr>
        <w:t>Ensembl</w:t>
      </w:r>
      <w:proofErr w:type="spellEnd"/>
      <w:r w:rsidRPr="00DA70A9">
        <w:rPr>
          <w:rFonts w:ascii="Arial" w:hAnsi="Arial" w:cs="Arial"/>
        </w:rPr>
        <w:t xml:space="preserve"> for human; </w:t>
      </w:r>
      <w:proofErr w:type="spellStart"/>
      <w:r w:rsidRPr="00DA70A9">
        <w:rPr>
          <w:rFonts w:ascii="Arial" w:hAnsi="Arial" w:cs="Arial"/>
        </w:rPr>
        <w:t>RefSeq</w:t>
      </w:r>
      <w:proofErr w:type="spellEnd"/>
      <w:r w:rsidRPr="00DA70A9">
        <w:rPr>
          <w:rFonts w:ascii="Arial" w:hAnsi="Arial" w:cs="Arial"/>
        </w:rPr>
        <w:t xml:space="preserve"> and GENCODE for mouse), evaluated for potential alternative splice sites, and checked for broad, consistent expression in multiple tissues. (b) TUSCO’s leverages SQANTI3 structural categories to define benchmarking labels. True Positives (TP) are correctly identified TUSCO transcripts as Reference Match (RM); Partial True Positives (PTP) are those that align to alternative categories (</w:t>
      </w:r>
      <w:proofErr w:type="spellStart"/>
      <w:r w:rsidRPr="00DA70A9">
        <w:rPr>
          <w:rFonts w:ascii="Arial" w:hAnsi="Arial" w:cs="Arial"/>
        </w:rPr>
        <w:t>FSM_non</w:t>
      </w:r>
      <w:proofErr w:type="spellEnd"/>
      <w:r w:rsidRPr="00DA70A9">
        <w:rPr>
          <w:rFonts w:ascii="Arial" w:hAnsi="Arial" w:cs="Arial"/>
        </w:rPr>
        <w:t>-RM or ISM). False Negatives (FN) indicate undetected TUSCO transcripts, whereas False Positives (FP) are transcripts with Novel in Catalog, Novel not in Catalog, Genic Intron, and Genic Genomic categorie</w:t>
      </w:r>
      <w:commentRangeStart w:id="8"/>
      <w:r w:rsidRPr="00DA70A9">
        <w:rPr>
          <w:rFonts w:ascii="Arial" w:hAnsi="Arial" w:cs="Arial"/>
        </w:rPr>
        <w:t xml:space="preserve">s. </w:t>
      </w:r>
      <w:commentRangeStart w:id="9"/>
      <w:commentRangeStart w:id="10"/>
      <w:r w:rsidRPr="00DA70A9">
        <w:rPr>
          <w:rFonts w:ascii="Arial" w:hAnsi="Arial" w:cs="Arial"/>
        </w:rPr>
        <w:t xml:space="preserve">(c) High-level workflow from sample preparation to computational analysis, highlighting how different biases (sample, protocol, platform, and transcript reconstruction) can affect user-defined transcriptome and different benchmarking approaches assess these biases. </w:t>
      </w:r>
      <w:commentRangeEnd w:id="9"/>
      <w:r w:rsidR="000970F7">
        <w:rPr>
          <w:rStyle w:val="CommentReference"/>
        </w:rPr>
        <w:commentReference w:id="9"/>
      </w:r>
      <w:commentRangeEnd w:id="10"/>
      <w:r w:rsidR="000970F7">
        <w:rPr>
          <w:rStyle w:val="CommentReference"/>
        </w:rPr>
        <w:commentReference w:id="10"/>
      </w:r>
      <w:r w:rsidRPr="00DA70A9">
        <w:rPr>
          <w:rFonts w:ascii="Arial" w:hAnsi="Arial" w:cs="Arial"/>
        </w:rPr>
        <w:t xml:space="preserve"> </w:t>
      </w:r>
      <w:commentRangeEnd w:id="8"/>
      <w:r w:rsidR="000970F7">
        <w:rPr>
          <w:rStyle w:val="CommentReference"/>
        </w:rPr>
        <w:commentReference w:id="8"/>
      </w:r>
    </w:p>
    <w:p w14:paraId="328B7ECC" w14:textId="11F0D596" w:rsidR="370B6CBF" w:rsidRDefault="370B6CBF" w:rsidP="370B6CBF">
      <w:pPr>
        <w:spacing w:beforeAutospacing="1" w:afterAutospacing="1"/>
        <w:rPr>
          <w:rFonts w:ascii="Arial" w:hAnsi="Arial" w:cs="Arial"/>
        </w:rPr>
      </w:pPr>
    </w:p>
    <w:p w14:paraId="116C935A" w14:textId="14E8896D" w:rsidR="3AB00C23" w:rsidRPr="00DA70A9" w:rsidRDefault="3AB00C23" w:rsidP="006C7777">
      <w:pPr>
        <w:spacing w:beforeAutospacing="1" w:afterAutospacing="1"/>
        <w:rPr>
          <w:rFonts w:ascii="Arial" w:hAnsi="Arial" w:cs="Arial"/>
        </w:rPr>
      </w:pPr>
    </w:p>
    <w:p w14:paraId="1A3B04DF" w14:textId="05ABB5FB" w:rsidR="00B453B9" w:rsidRPr="00DA70A9" w:rsidRDefault="004F4075" w:rsidP="006C7777">
      <w:pPr>
        <w:spacing w:before="100" w:beforeAutospacing="1" w:after="100" w:afterAutospacing="1"/>
        <w:rPr>
          <w:rFonts w:ascii="Arial" w:hAnsi="Arial" w:cs="Arial"/>
          <w:i/>
          <w:iCs/>
        </w:rPr>
      </w:pPr>
      <w:r w:rsidRPr="00DA70A9">
        <w:rPr>
          <w:rFonts w:ascii="Arial" w:hAnsi="Arial" w:cs="Arial"/>
          <w:i/>
          <w:iCs/>
        </w:rPr>
        <w:t xml:space="preserve">Validation and Comparison between </w:t>
      </w:r>
      <w:r w:rsidR="00A20B5E" w:rsidRPr="00DA70A9">
        <w:rPr>
          <w:rFonts w:ascii="Arial" w:hAnsi="Arial" w:cs="Arial"/>
          <w:i/>
          <w:iCs/>
        </w:rPr>
        <w:t>TUSCO</w:t>
      </w:r>
      <w:r w:rsidRPr="00DA70A9">
        <w:rPr>
          <w:rFonts w:ascii="Arial" w:hAnsi="Arial" w:cs="Arial"/>
          <w:i/>
          <w:iCs/>
        </w:rPr>
        <w:t xml:space="preserve"> and SIRVs</w:t>
      </w:r>
    </w:p>
    <w:p w14:paraId="0452BEBF" w14:textId="6DD46C5D" w:rsidR="00CE3651" w:rsidRPr="00DA70A9" w:rsidRDefault="00CE3651" w:rsidP="006C7777">
      <w:pPr>
        <w:spacing w:before="100" w:beforeAutospacing="1" w:after="100" w:afterAutospacing="1"/>
        <w:rPr>
          <w:rFonts w:ascii="Arial" w:hAnsi="Arial" w:cs="Arial"/>
        </w:rPr>
      </w:pPr>
      <w:r w:rsidRPr="00DA70A9">
        <w:rPr>
          <w:rFonts w:ascii="Arial" w:hAnsi="Arial" w:cs="Arial"/>
        </w:rPr>
        <w:t xml:space="preserve">To assess </w:t>
      </w:r>
      <w:r w:rsidR="00A20B5E" w:rsidRPr="00DA70A9">
        <w:rPr>
          <w:rFonts w:ascii="Arial" w:hAnsi="Arial" w:cs="Arial"/>
        </w:rPr>
        <w:t>TUSCO</w:t>
      </w:r>
      <w:r w:rsidRPr="00DA70A9">
        <w:rPr>
          <w:rFonts w:ascii="Arial" w:hAnsi="Arial" w:cs="Arial"/>
        </w:rPr>
        <w:t xml:space="preserve"> as an endogenous benchmark, we </w:t>
      </w:r>
      <w:r w:rsidR="0C0A461E" w:rsidRPr="00DA70A9">
        <w:rPr>
          <w:rFonts w:ascii="Arial" w:hAnsi="Arial" w:cs="Arial"/>
        </w:rPr>
        <w:t>first compared</w:t>
      </w:r>
      <w:r w:rsidRPr="00DA70A9">
        <w:rPr>
          <w:rFonts w:ascii="Arial" w:hAnsi="Arial" w:cs="Arial"/>
        </w:rPr>
        <w:t xml:space="preserve"> its performance </w:t>
      </w:r>
      <w:r w:rsidR="020E0288" w:rsidRPr="00DA70A9">
        <w:rPr>
          <w:rFonts w:ascii="Arial" w:hAnsi="Arial" w:cs="Arial"/>
        </w:rPr>
        <w:t>with respect to</w:t>
      </w:r>
      <w:r w:rsidR="5157B9C0" w:rsidRPr="00DA70A9">
        <w:rPr>
          <w:rFonts w:ascii="Arial" w:hAnsi="Arial" w:cs="Arial"/>
        </w:rPr>
        <w:t xml:space="preserve"> </w:t>
      </w:r>
      <w:r w:rsidRPr="00DA70A9">
        <w:rPr>
          <w:rFonts w:ascii="Arial" w:hAnsi="Arial" w:cs="Arial"/>
        </w:rPr>
        <w:t>SIRVs using comprehensive data sets from the LRGASP project. Three major library preparation workflows—direct RNA (</w:t>
      </w:r>
      <w:proofErr w:type="spellStart"/>
      <w:r w:rsidRPr="00DA70A9">
        <w:rPr>
          <w:rFonts w:ascii="Arial" w:hAnsi="Arial" w:cs="Arial"/>
        </w:rPr>
        <w:t>dRNA</w:t>
      </w:r>
      <w:proofErr w:type="spellEnd"/>
      <w:r w:rsidRPr="00DA70A9">
        <w:rPr>
          <w:rFonts w:ascii="Arial" w:hAnsi="Arial" w:cs="Arial"/>
        </w:rPr>
        <w:t xml:space="preserve">) ONT, cDNA ONT, and cDNA PacBio—were applied to both human WTC11 iPSC and mouse ES cells. Transcript models were generated using the FLAIR pipeline and evaluated against either </w:t>
      </w:r>
      <w:r w:rsidR="00A20B5E" w:rsidRPr="00DA70A9">
        <w:rPr>
          <w:rFonts w:ascii="Arial" w:hAnsi="Arial" w:cs="Arial"/>
        </w:rPr>
        <w:t>TUSCO</w:t>
      </w:r>
      <w:r w:rsidRPr="00DA70A9">
        <w:rPr>
          <w:rFonts w:ascii="Arial" w:hAnsi="Arial" w:cs="Arial"/>
        </w:rPr>
        <w:t xml:space="preserve"> or SIRVs (</w:t>
      </w:r>
      <w:r w:rsidR="00743254">
        <w:rPr>
          <w:rFonts w:ascii="Arial" w:hAnsi="Arial" w:cs="Arial"/>
        </w:rPr>
        <w:t>Figure</w:t>
      </w:r>
      <w:r w:rsidRPr="00DA70A9">
        <w:rPr>
          <w:rFonts w:ascii="Arial" w:hAnsi="Arial" w:cs="Arial"/>
        </w:rPr>
        <w:t> </w:t>
      </w:r>
      <w:r w:rsidR="00C91238" w:rsidRPr="00DA70A9">
        <w:rPr>
          <w:rFonts w:ascii="Arial" w:hAnsi="Arial" w:cs="Arial"/>
        </w:rPr>
        <w:t>3</w:t>
      </w:r>
      <w:r w:rsidRPr="00DA70A9">
        <w:rPr>
          <w:rFonts w:ascii="Arial" w:hAnsi="Arial" w:cs="Arial"/>
        </w:rPr>
        <w:t>a).</w:t>
      </w:r>
    </w:p>
    <w:p w14:paraId="6A3705B0" w14:textId="14F211FE" w:rsidR="00D0206C" w:rsidRPr="00DA70A9" w:rsidRDefault="004D0947" w:rsidP="006C7777">
      <w:pPr>
        <w:rPr>
          <w:rFonts w:ascii="Arial" w:hAnsi="Arial" w:cs="Arial"/>
        </w:rPr>
      </w:pPr>
      <w:r w:rsidRPr="00DA70A9">
        <w:rPr>
          <w:rFonts w:ascii="Arial" w:hAnsi="Arial" w:cs="Arial"/>
        </w:rPr>
        <w:t xml:space="preserve">Across all library types and samples, </w:t>
      </w:r>
      <w:r w:rsidR="00A20B5E" w:rsidRPr="00DA70A9">
        <w:rPr>
          <w:rFonts w:ascii="Arial" w:hAnsi="Arial" w:cs="Arial"/>
        </w:rPr>
        <w:t>TUSCO</w:t>
      </w:r>
      <w:r w:rsidRPr="00DA70A9">
        <w:rPr>
          <w:rFonts w:ascii="Arial" w:hAnsi="Arial" w:cs="Arial"/>
        </w:rPr>
        <w:t>-derived metrics closely mirrored those obtained with SIRVs in sensitivity, precisio</w:t>
      </w:r>
      <w:r w:rsidR="001E4F90">
        <w:rPr>
          <w:rFonts w:ascii="Arial" w:hAnsi="Arial" w:cs="Arial"/>
        </w:rPr>
        <w:t>n</w:t>
      </w:r>
      <w:r w:rsidRPr="00DA70A9">
        <w:rPr>
          <w:rFonts w:ascii="Arial" w:hAnsi="Arial" w:cs="Arial"/>
        </w:rPr>
        <w:t>, and redundancy (</w:t>
      </w:r>
      <w:r w:rsidR="00743254">
        <w:rPr>
          <w:rFonts w:ascii="Arial" w:hAnsi="Arial" w:cs="Arial"/>
        </w:rPr>
        <w:t>Figure</w:t>
      </w:r>
      <w:r w:rsidRPr="00DA70A9">
        <w:rPr>
          <w:rFonts w:ascii="Arial" w:hAnsi="Arial" w:cs="Arial"/>
        </w:rPr>
        <w:t xml:space="preserve"> </w:t>
      </w:r>
      <w:r w:rsidR="0047489F" w:rsidRPr="00DA70A9">
        <w:rPr>
          <w:rFonts w:ascii="Arial" w:hAnsi="Arial" w:cs="Arial"/>
        </w:rPr>
        <w:t>3</w:t>
      </w:r>
      <w:r w:rsidRPr="00DA70A9">
        <w:rPr>
          <w:rFonts w:ascii="Arial" w:hAnsi="Arial" w:cs="Arial"/>
        </w:rPr>
        <w:t>a). To quantify this concordance, we calculated cosine similarity (</w:t>
      </w:r>
      <w:proofErr w:type="spellStart"/>
      <w:r w:rsidRPr="00DA70A9">
        <w:rPr>
          <w:rFonts w:ascii="Arial" w:hAnsi="Arial" w:cs="Arial"/>
        </w:rPr>
        <w:t>cosim</w:t>
      </w:r>
      <w:proofErr w:type="spellEnd"/>
      <w:r w:rsidRPr="00DA70A9">
        <w:rPr>
          <w:rFonts w:ascii="Arial" w:hAnsi="Arial" w:cs="Arial"/>
        </w:rPr>
        <w:t xml:space="preserve">) scores between the two benchmarking approaches (Table </w:t>
      </w:r>
      <w:r w:rsidR="00424492" w:rsidRPr="00DA70A9">
        <w:rPr>
          <w:rFonts w:ascii="Arial" w:hAnsi="Arial" w:cs="Arial"/>
        </w:rPr>
        <w:t>S</w:t>
      </w:r>
      <w:r w:rsidRPr="00DA70A9">
        <w:rPr>
          <w:rFonts w:ascii="Arial" w:hAnsi="Arial" w:cs="Arial"/>
        </w:rPr>
        <w:t xml:space="preserve">1). Values approaching 1 indicate strong agreement in evaluating transcript reconstruction performance but do not necessarily reflect absolute performance quality. </w:t>
      </w:r>
      <w:r w:rsidR="006444BD" w:rsidRPr="00DA70A9">
        <w:rPr>
          <w:rFonts w:ascii="Arial" w:hAnsi="Arial" w:cs="Arial"/>
        </w:rPr>
        <w:t>The</w:t>
      </w:r>
      <w:r w:rsidRPr="00DA70A9">
        <w:rPr>
          <w:rFonts w:ascii="Arial" w:hAnsi="Arial" w:cs="Arial"/>
        </w:rPr>
        <w:t xml:space="preserve"> cDNA PacBio libraries</w:t>
      </w:r>
      <w:r w:rsidR="006444BD" w:rsidRPr="00DA70A9">
        <w:rPr>
          <w:rFonts w:ascii="Arial" w:hAnsi="Arial" w:cs="Arial"/>
        </w:rPr>
        <w:t>, which were the best performing experimental option according to LRGASP results,</w:t>
      </w:r>
      <w:r w:rsidRPr="00DA70A9">
        <w:rPr>
          <w:rFonts w:ascii="Arial" w:hAnsi="Arial" w:cs="Arial"/>
        </w:rPr>
        <w:t xml:space="preserve"> consistently achieved </w:t>
      </w:r>
      <w:proofErr w:type="spellStart"/>
      <w:r w:rsidRPr="00DA70A9">
        <w:rPr>
          <w:rFonts w:ascii="Arial" w:hAnsi="Arial" w:cs="Arial"/>
        </w:rPr>
        <w:t>cosim</w:t>
      </w:r>
      <w:proofErr w:type="spellEnd"/>
      <w:r w:rsidRPr="00DA70A9">
        <w:rPr>
          <w:rFonts w:ascii="Arial" w:hAnsi="Arial" w:cs="Arial"/>
        </w:rPr>
        <w:t xml:space="preserve"> values near unity in both human and mouse samples, demonstrating </w:t>
      </w:r>
      <w:r w:rsidR="006444BD" w:rsidRPr="00DA70A9">
        <w:rPr>
          <w:rFonts w:ascii="Arial" w:hAnsi="Arial" w:cs="Arial"/>
        </w:rPr>
        <w:t xml:space="preserve">that </w:t>
      </w:r>
      <w:r w:rsidR="00A20B5E" w:rsidRPr="00DA70A9">
        <w:rPr>
          <w:rFonts w:ascii="Arial" w:hAnsi="Arial" w:cs="Arial"/>
        </w:rPr>
        <w:t>TUSCO</w:t>
      </w:r>
      <w:r w:rsidRPr="00DA70A9">
        <w:rPr>
          <w:rFonts w:ascii="Arial" w:hAnsi="Arial" w:cs="Arial"/>
        </w:rPr>
        <w:t xml:space="preserve"> and SIRV benchmarks</w:t>
      </w:r>
      <w:r w:rsidR="006444BD" w:rsidRPr="00DA70A9">
        <w:rPr>
          <w:rFonts w:ascii="Arial" w:hAnsi="Arial" w:cs="Arial"/>
        </w:rPr>
        <w:t xml:space="preserve"> equally recognize the performance of the high-quality data</w:t>
      </w:r>
      <w:r w:rsidRPr="00DA70A9">
        <w:rPr>
          <w:rFonts w:ascii="Arial" w:hAnsi="Arial" w:cs="Arial"/>
        </w:rPr>
        <w:t xml:space="preserve">. Likewise, cDNA ONT, </w:t>
      </w:r>
      <w:proofErr w:type="spellStart"/>
      <w:r w:rsidRPr="00DA70A9">
        <w:rPr>
          <w:rFonts w:ascii="Arial" w:hAnsi="Arial" w:cs="Arial"/>
        </w:rPr>
        <w:t>dRNA</w:t>
      </w:r>
      <w:proofErr w:type="spellEnd"/>
      <w:r w:rsidRPr="00DA70A9">
        <w:rPr>
          <w:rFonts w:ascii="Arial" w:hAnsi="Arial" w:cs="Arial"/>
        </w:rPr>
        <w:t xml:space="preserve"> ONT, and hybrid long–short read pipelines (denoted “LS”) also exhibited high agreement (</w:t>
      </w:r>
      <w:proofErr w:type="spellStart"/>
      <w:r w:rsidRPr="00DA70A9">
        <w:rPr>
          <w:rFonts w:ascii="Arial" w:hAnsi="Arial" w:cs="Arial"/>
        </w:rPr>
        <w:t>cosim</w:t>
      </w:r>
      <w:proofErr w:type="spellEnd"/>
      <w:r w:rsidRPr="00DA70A9">
        <w:rPr>
          <w:rFonts w:ascii="Arial" w:hAnsi="Arial" w:cs="Arial"/>
        </w:rPr>
        <w:t xml:space="preserve">: 0.97–0.99), reinforcing </w:t>
      </w:r>
      <w:r w:rsidR="00A20B5E" w:rsidRPr="00DA70A9">
        <w:rPr>
          <w:rFonts w:ascii="Arial" w:hAnsi="Arial" w:cs="Arial"/>
        </w:rPr>
        <w:t>TUSCO</w:t>
      </w:r>
      <w:r w:rsidRPr="00DA70A9">
        <w:rPr>
          <w:rFonts w:ascii="Arial" w:hAnsi="Arial" w:cs="Arial"/>
        </w:rPr>
        <w:t>'s utility as a reliable internal benchmark comparable to established spike-in controls</w:t>
      </w:r>
      <w:r w:rsidR="006444BD" w:rsidRPr="00DA70A9">
        <w:rPr>
          <w:rFonts w:ascii="Arial" w:hAnsi="Arial" w:cs="Arial"/>
        </w:rPr>
        <w:t>, but also revealing small differences between the two QC datasets.</w:t>
      </w:r>
    </w:p>
    <w:p w14:paraId="11E09841" w14:textId="06FB1A92" w:rsidR="009227CA" w:rsidRPr="00DA70A9" w:rsidRDefault="00300613" w:rsidP="006C7777">
      <w:pPr>
        <w:rPr>
          <w:rFonts w:ascii="Arial" w:hAnsi="Arial" w:cs="Arial"/>
        </w:rPr>
      </w:pPr>
      <w:r w:rsidRPr="00DA70A9">
        <w:rPr>
          <w:rFonts w:ascii="Arial" w:hAnsi="Arial" w:cs="Arial"/>
          <w:noProof/>
        </w:rPr>
        <w:lastRenderedPageBreak/>
        <w:drawing>
          <wp:inline distT="0" distB="0" distL="0" distR="0" wp14:anchorId="6B7F57DD" wp14:editId="302BFADC">
            <wp:extent cx="5943600" cy="5605780"/>
            <wp:effectExtent l="0" t="0" r="0" b="0"/>
            <wp:docPr id="873975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5166" name="Picture 8739751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65A60D58" w14:textId="311B502C" w:rsidR="636D2CF6" w:rsidRPr="00DA70A9" w:rsidRDefault="79DAEAB0" w:rsidP="006C7777">
      <w:pPr>
        <w:spacing w:beforeAutospacing="1" w:afterAutospacing="1"/>
        <w:rPr>
          <w:rFonts w:ascii="Arial" w:hAnsi="Arial" w:cs="Arial"/>
        </w:rPr>
      </w:pPr>
      <w:r w:rsidRPr="00DA70A9">
        <w:rPr>
          <w:rFonts w:ascii="Arial" w:hAnsi="Arial" w:cs="Arial"/>
          <w:b/>
          <w:bCs/>
        </w:rPr>
        <w:t>Figure 3: Comprehensive performance assessment of TUSCO and SIRVs for isoform detection across multiple sequencing platforms and pipelines, including the impact of RNA degradation on transcript recovery and analysis of false</w:t>
      </w:r>
      <w:r w:rsidRPr="00DA70A9">
        <w:rPr>
          <w:rFonts w:ascii="Cambria Math" w:hAnsi="Cambria Math" w:cs="Cambria Math"/>
          <w:b/>
          <w:bCs/>
        </w:rPr>
        <w:t>‐</w:t>
      </w:r>
      <w:r w:rsidRPr="00DA70A9">
        <w:rPr>
          <w:rFonts w:ascii="Arial" w:hAnsi="Arial" w:cs="Arial"/>
          <w:b/>
          <w:bCs/>
        </w:rPr>
        <w:t xml:space="preserve">negative genes. </w:t>
      </w:r>
      <w:r w:rsidRPr="00DA70A9">
        <w:rPr>
          <w:rFonts w:ascii="Arial" w:hAnsi="Arial" w:cs="Arial"/>
        </w:rPr>
        <w:t>(a) Radar plots of sensitivity (Sn), precision (</w:t>
      </w:r>
      <w:proofErr w:type="spellStart"/>
      <w:r w:rsidRPr="00DA70A9">
        <w:rPr>
          <w:rFonts w:ascii="Arial" w:hAnsi="Arial" w:cs="Arial"/>
        </w:rPr>
        <w:t>Pr</w:t>
      </w:r>
      <w:proofErr w:type="spellEnd"/>
      <w:r w:rsidRPr="00DA70A9">
        <w:rPr>
          <w:rFonts w:ascii="Arial" w:hAnsi="Arial" w:cs="Arial"/>
        </w:rPr>
        <w:t>), and redundancy (</w:t>
      </w:r>
      <w:proofErr w:type="spellStart"/>
      <w:r w:rsidRPr="00DA70A9">
        <w:rPr>
          <w:rFonts w:ascii="Arial" w:hAnsi="Arial" w:cs="Arial"/>
        </w:rPr>
        <w:t>rPre</w:t>
      </w:r>
      <w:proofErr w:type="spellEnd"/>
      <w:r w:rsidRPr="00DA70A9">
        <w:rPr>
          <w:rFonts w:ascii="Arial" w:hAnsi="Arial" w:cs="Arial"/>
        </w:rPr>
        <w:t>) for human WTC11 (top row) and mouse ES (bottom row) samples processed with direct RNA (</w:t>
      </w:r>
      <w:proofErr w:type="spellStart"/>
      <w:r w:rsidRPr="00DA70A9">
        <w:rPr>
          <w:rFonts w:ascii="Arial" w:hAnsi="Arial" w:cs="Arial"/>
        </w:rPr>
        <w:t>dRNA</w:t>
      </w:r>
      <w:proofErr w:type="spellEnd"/>
      <w:r w:rsidRPr="00DA70A9">
        <w:rPr>
          <w:rFonts w:ascii="Arial" w:hAnsi="Arial" w:cs="Arial"/>
        </w:rPr>
        <w:t xml:space="preserve">) ONT, cDNA ONT, or cDNA PacBio library preparation. Metrics were computed using either TUSCO (green and teal lines for human and mouse, respectively) or SIRVs (purple), with each point on the radar plot reflecting a single dataset. (b) Bar charts comparing the frequencies (percentage) of true positives (TP), partial true positives (PTP), false positives (FP), and false negatives (FN) under TUSCO or SIRVs, shown for long-read-only pipelines (left) or combined long–short read pipelines (right). Significance between TUSCO and SIRVs is indicated by asterisks (ns = not significant; *p&lt;0.05; **p&lt;0.01; ***p&lt;0.001). (c) Influence of RNA degradation on TUSCO and </w:t>
      </w:r>
      <w:commentRangeStart w:id="11"/>
      <w:r w:rsidRPr="00DA70A9">
        <w:rPr>
          <w:rFonts w:ascii="Arial" w:hAnsi="Arial" w:cs="Arial"/>
        </w:rPr>
        <w:t>Sequin detection</w:t>
      </w:r>
      <w:commentRangeEnd w:id="11"/>
      <w:r w:rsidR="636D2CF6" w:rsidRPr="00DA70A9">
        <w:rPr>
          <w:rStyle w:val="CommentReference"/>
          <w:rFonts w:ascii="Arial" w:hAnsi="Arial" w:cs="Arial"/>
          <w:sz w:val="20"/>
          <w:szCs w:val="20"/>
        </w:rPr>
        <w:commentReference w:id="11"/>
      </w:r>
      <w:r w:rsidRPr="00DA70A9">
        <w:rPr>
          <w:rFonts w:ascii="Arial" w:hAnsi="Arial" w:cs="Arial"/>
        </w:rPr>
        <w:t xml:space="preserve">. A schematic (left) illustrates the experimental design, where RNA is degraded at room temperature (RT) for increasing times before sequencing. Scatter plots (right) show the correlation between RIN and the fraction of fully recovered transcripts for TUSCO (top) or Sequin (bottom). The fitted lines highlight the distinct relationships for each </w:t>
      </w:r>
      <w:r w:rsidRPr="00DA70A9">
        <w:rPr>
          <w:rFonts w:ascii="Arial" w:hAnsi="Arial" w:cs="Arial"/>
        </w:rPr>
        <w:lastRenderedPageBreak/>
        <w:t>dataset (R² and p values indicated). (d) Identification of false</w:t>
      </w:r>
      <w:r w:rsidRPr="00DA70A9">
        <w:rPr>
          <w:rFonts w:ascii="Cambria Math" w:hAnsi="Cambria Math" w:cs="Cambria Math"/>
        </w:rPr>
        <w:t>‐</w:t>
      </w:r>
      <w:r w:rsidRPr="00DA70A9">
        <w:rPr>
          <w:rFonts w:ascii="Arial" w:hAnsi="Arial" w:cs="Arial"/>
        </w:rPr>
        <w:t>negative (FN) TUSCO genes across transcript reconstruction pipelines (top: human WTC11; bottom: mouse ES). For a total of 17 (human) and 20 (mouse) TUSCO genes not identified in at least one dataset, bar plots depict the number of FN TUSCO genes (y</w:t>
      </w:r>
      <w:r w:rsidRPr="00DA70A9">
        <w:rPr>
          <w:rFonts w:ascii="Cambria Math" w:hAnsi="Cambria Math" w:cs="Cambria Math"/>
        </w:rPr>
        <w:t>‐</w:t>
      </w:r>
      <w:r w:rsidRPr="00DA70A9">
        <w:rPr>
          <w:rFonts w:ascii="Arial" w:hAnsi="Arial" w:cs="Arial"/>
        </w:rPr>
        <w:t>axis) present in exactly k other datasets (x</w:t>
      </w:r>
      <w:r w:rsidRPr="00DA70A9">
        <w:rPr>
          <w:rFonts w:ascii="Cambria Math" w:hAnsi="Cambria Math" w:cs="Cambria Math"/>
        </w:rPr>
        <w:t>‐</w:t>
      </w:r>
      <w:r w:rsidRPr="00DA70A9">
        <w:rPr>
          <w:rFonts w:ascii="Arial" w:hAnsi="Arial" w:cs="Arial"/>
        </w:rPr>
        <w:t>axis) corresponding to six long</w:t>
      </w:r>
      <w:r w:rsidRPr="00DA70A9">
        <w:rPr>
          <w:rFonts w:ascii="Cambria Math" w:hAnsi="Cambria Math" w:cs="Cambria Math"/>
        </w:rPr>
        <w:t>‐</w:t>
      </w:r>
      <w:r w:rsidRPr="00DA70A9">
        <w:rPr>
          <w:rFonts w:ascii="Arial" w:hAnsi="Arial" w:cs="Arial"/>
        </w:rPr>
        <w:t>read protocols and one Illumina short</w:t>
      </w:r>
      <w:r w:rsidRPr="00DA70A9">
        <w:rPr>
          <w:rFonts w:ascii="Cambria Math" w:hAnsi="Cambria Math" w:cs="Cambria Math"/>
        </w:rPr>
        <w:t>‐</w:t>
      </w:r>
      <w:r w:rsidRPr="00DA70A9">
        <w:rPr>
          <w:rFonts w:ascii="Arial" w:hAnsi="Arial" w:cs="Arial"/>
        </w:rPr>
        <w:t>read dataset. Genes are labeled FN if they lack full</w:t>
      </w:r>
      <w:r w:rsidRPr="00DA70A9">
        <w:rPr>
          <w:rFonts w:ascii="Cambria Math" w:hAnsi="Cambria Math" w:cs="Cambria Math"/>
        </w:rPr>
        <w:t>‐</w:t>
      </w:r>
      <w:r w:rsidRPr="00DA70A9">
        <w:rPr>
          <w:rFonts w:ascii="Arial" w:hAnsi="Arial" w:cs="Arial"/>
        </w:rPr>
        <w:t>splice or incomplete</w:t>
      </w:r>
      <w:r w:rsidRPr="00DA70A9">
        <w:rPr>
          <w:rFonts w:ascii="Cambria Math" w:hAnsi="Cambria Math" w:cs="Cambria Math"/>
        </w:rPr>
        <w:t>‐</w:t>
      </w:r>
      <w:r w:rsidRPr="00DA70A9">
        <w:rPr>
          <w:rFonts w:ascii="Arial" w:hAnsi="Arial" w:cs="Arial"/>
        </w:rPr>
        <w:t>splice matches in long</w:t>
      </w:r>
      <w:r w:rsidRPr="00DA70A9">
        <w:rPr>
          <w:rFonts w:ascii="Cambria Math" w:hAnsi="Cambria Math" w:cs="Cambria Math"/>
        </w:rPr>
        <w:t>‐</w:t>
      </w:r>
      <w:r w:rsidRPr="00DA70A9">
        <w:rPr>
          <w:rFonts w:ascii="Arial" w:hAnsi="Arial" w:cs="Arial"/>
        </w:rPr>
        <w:t>read data or show no expression (TPM = 0) in short</w:t>
      </w:r>
      <w:r w:rsidRPr="00DA70A9">
        <w:rPr>
          <w:rFonts w:ascii="Cambria Math" w:hAnsi="Cambria Math" w:cs="Cambria Math"/>
        </w:rPr>
        <w:t>‐</w:t>
      </w:r>
      <w:r w:rsidRPr="00DA70A9">
        <w:rPr>
          <w:rFonts w:ascii="Arial" w:hAnsi="Arial" w:cs="Arial"/>
        </w:rPr>
        <w:t>read data. All FN were detected in at least one other dataset.</w:t>
      </w:r>
    </w:p>
    <w:p w14:paraId="4F2C4EE9" w14:textId="77777777" w:rsidR="00E0785D" w:rsidRPr="00DA70A9" w:rsidRDefault="00E0785D" w:rsidP="006C7777">
      <w:pPr>
        <w:spacing w:beforeAutospacing="1" w:afterAutospacing="1"/>
        <w:rPr>
          <w:rFonts w:ascii="Arial" w:hAnsi="Arial" w:cs="Arial"/>
        </w:rPr>
      </w:pPr>
    </w:p>
    <w:p w14:paraId="38069C7E" w14:textId="75D67CAC" w:rsidR="00FD5AF6" w:rsidRPr="00DA70A9" w:rsidRDefault="00A20B5E" w:rsidP="006C7777">
      <w:pPr>
        <w:spacing w:before="100" w:beforeAutospacing="1" w:after="100" w:afterAutospacing="1"/>
        <w:rPr>
          <w:rFonts w:ascii="Arial" w:hAnsi="Arial" w:cs="Arial"/>
          <w:i/>
          <w:iCs/>
        </w:rPr>
      </w:pPr>
      <w:r w:rsidRPr="00DA70A9">
        <w:rPr>
          <w:rFonts w:ascii="Arial" w:hAnsi="Arial" w:cs="Arial"/>
          <w:i/>
          <w:iCs/>
        </w:rPr>
        <w:t>TUSCO</w:t>
      </w:r>
      <w:r w:rsidR="00FD5AF6" w:rsidRPr="00DA70A9">
        <w:rPr>
          <w:rFonts w:ascii="Arial" w:hAnsi="Arial" w:cs="Arial"/>
          <w:i/>
          <w:iCs/>
        </w:rPr>
        <w:t xml:space="preserve"> More Stringently Reflects Sample Preparation and Sequencing Depth</w:t>
      </w:r>
    </w:p>
    <w:p w14:paraId="1A601192" w14:textId="61F6646E" w:rsidR="00FD5AF6" w:rsidRPr="00DA70A9" w:rsidRDefault="79DAEAB0" w:rsidP="006C7777">
      <w:pPr>
        <w:spacing w:before="100" w:beforeAutospacing="1" w:after="100" w:afterAutospacing="1"/>
        <w:rPr>
          <w:rFonts w:ascii="Arial" w:hAnsi="Arial" w:cs="Arial"/>
        </w:rPr>
      </w:pPr>
      <w:r w:rsidRPr="00DA70A9">
        <w:rPr>
          <w:rFonts w:ascii="Arial" w:hAnsi="Arial" w:cs="Arial"/>
          <w:color w:val="0D0D0D" w:themeColor="text1" w:themeTint="F2"/>
        </w:rPr>
        <w:t>To understand these differences, we performed a detailed analysis of TUSCO genes across primary performance indicators. We compared the frequencies of true positives (TP), partial true positives (PTP), false positives (FP), and false negatives (FN) under TUSCO or SIRVs, for human and mouse datasets (Figure 3b). We found no significant differences between TUSCO and SIRVs in terms of TP and FP, confirming our previous conclusions when comparing performance metrics. To verify that TUSCO-identified FPs truly represent errors rather than alternative isoforms, we manually inspected these transcripts, revealing sequencing, mapping, or reconstruction errors unsupported by either long- or short-read data (</w:t>
      </w:r>
      <w:commentRangeStart w:id="12"/>
      <w:r w:rsidRPr="00DA70A9">
        <w:rPr>
          <w:rFonts w:ascii="Arial" w:hAnsi="Arial" w:cs="Arial"/>
          <w:color w:val="0D0D0D" w:themeColor="text1" w:themeTint="F2"/>
        </w:rPr>
        <w:t>Supplementary Material</w:t>
      </w:r>
      <w:commentRangeEnd w:id="12"/>
      <w:r w:rsidR="3AB00C23" w:rsidRPr="00DA70A9">
        <w:rPr>
          <w:rStyle w:val="CommentReference"/>
          <w:rFonts w:ascii="Arial" w:hAnsi="Arial" w:cs="Arial"/>
          <w:color w:val="0D0D0D" w:themeColor="text1" w:themeTint="F2"/>
          <w:sz w:val="20"/>
          <w:szCs w:val="20"/>
        </w:rPr>
        <w:commentReference w:id="12"/>
      </w:r>
      <w:r w:rsidRPr="00DA70A9">
        <w:rPr>
          <w:rFonts w:ascii="Arial" w:hAnsi="Arial" w:cs="Arial"/>
          <w:color w:val="0D0D0D" w:themeColor="text1" w:themeTint="F2"/>
        </w:rPr>
        <w:t xml:space="preserve">). In contrast, partial true positives (PTP) and false negatives (FN) differed significantly </w:t>
      </w:r>
      <w:r w:rsidR="00B65F98" w:rsidRPr="00DA70A9">
        <w:rPr>
          <w:rFonts w:ascii="Arial" w:hAnsi="Arial" w:cs="Arial"/>
          <w:color w:val="0D0D0D" w:themeColor="text1" w:themeTint="F2"/>
        </w:rPr>
        <w:t>(one-sided paired t-test, TUSCO &gt; SIRVs: human PTP p = 0.0098, FN p = 0.0125; mouse PTP p = 0.0212, FN p = 6.37 × 10</w:t>
      </w:r>
      <w:r w:rsidR="00B65F98" w:rsidRPr="007B6AD0">
        <w:rPr>
          <w:rFonts w:ascii="Arial" w:hAnsi="Arial" w:cs="Arial"/>
          <w:color w:val="0D0D0D" w:themeColor="text1" w:themeTint="F2"/>
          <w:vertAlign w:val="superscript"/>
        </w:rPr>
        <w:t>-4</w:t>
      </w:r>
      <w:r w:rsidR="00B65F98" w:rsidRPr="00DA70A9">
        <w:rPr>
          <w:rFonts w:ascii="Arial" w:hAnsi="Arial" w:cs="Arial"/>
          <w:color w:val="0D0D0D" w:themeColor="text1" w:themeTint="F2"/>
        </w:rPr>
        <w:t>)</w:t>
      </w:r>
      <w:r w:rsidRPr="00DA70A9">
        <w:rPr>
          <w:rFonts w:ascii="Arial" w:hAnsi="Arial" w:cs="Arial"/>
          <w:color w:val="0D0D0D" w:themeColor="text1" w:themeTint="F2"/>
        </w:rPr>
        <w:t xml:space="preserve"> (Figure 3b), with both metrics higher under TUSCO. We hypothesize that because TUSCO represents sample endogenous transcripts, it is more sensitive to partial degradation or incomplete capture—issues in sample quality and extraction that synthetic spike-ins like SIRVs or Sequins cannot fully replicate. To test</w:t>
      </w:r>
      <w:r w:rsidRPr="00DA70A9">
        <w:rPr>
          <w:rFonts w:ascii="Arial" w:hAnsi="Arial" w:cs="Arial"/>
        </w:rPr>
        <w:t xml:space="preserve"> this hypothesis, we applied TUSCO benchmarking to a set of ONT cDNA samples spanning a broad range of RNA integrity (RIN) values (Figure 3c)</w:t>
      </w:r>
      <w:r w:rsidR="3AB00C23" w:rsidRPr="00DA70A9">
        <w:rPr>
          <w:rFonts w:ascii="Arial" w:hAnsi="Arial" w:cs="Arial"/>
        </w:rPr>
        <w:fldChar w:fldCharType="begin"/>
      </w:r>
      <w:r w:rsidR="00F211BD">
        <w:rPr>
          <w:rFonts w:ascii="Arial" w:hAnsi="Arial" w:cs="Arial"/>
        </w:rPr>
        <w:instrText xml:space="preserve"> ADDIN ZOTERO_ITEM CSL_CITATION {"citationID":"dBI5erNu","properties":{"formattedCitation":"\\super 44\\nosupersub{}","plainCitation":"44","noteIndex":0},"citationItems":[{"id":127,"uris":["http://zotero.org/users/local/fy8HeEeu/items/79RFFYGM"],"itemData":{"id":127,"type":"article-journal","abstract":"Oxford Nanopore direct RNA sequencing (DRS) is capable of sequencing complete RNA molecules and accurately measuring gene and isoform expression. However, as DRS is designed to profile intact RNA, expression quantification may be more heavily dependent upon RNA integrity than alternative RNA sequencing methodologies. It is currently unclear how RNA degradation impacts DRS or whether it can be corrected for. To assess the impact of RNA integrity on DRS, we performed a degradation time series using SH-SY5Y neuroblastoma cells. Our results demonstrate that degradation is a significant and pervasive factor that can bias DRS measurements, including a reduction in library complexity resulting in an overrepresentation of short genes and isoforms. Degradation also biases differential expression analyses; however, we find that explicit correction can almost fully recover meaningful biological signal. In addition, DRS provided less biased profiling of partially degraded samples than Nanopore PCR-cDNA sequencing. Overall, we find that samples with RNA integrity number (RIN) &amp;gt; 9.5 can be treated as undegraded and samples with RIN &amp;gt; 7 can be utilized for DRS with appropriate correction. These results establish the suitability of DRS for a wide range of samples, including partially degraded in vivo clinical and post-mortem samples, while limiting the confounding effect of degradation on expression quantification.","container-title":"NAR Genomics and Bioinformatics","DOI":"10.1093/nargab/lqad060","ISSN":"2631-9268","issue":"2","journalAbbreviation":"NAR Genomics and Bioinformatics","page":"lqad060","source":"Silverchair","title":"Pervasive effects of RNA degradation on Nanopore direct RNA sequencing","volume":"5","author":[{"family":"Prawer","given":"Yair D J"},{"family":"Gleeson","given":"Josie"},{"family":"De Paoli-Iseppi","given":"Ricardo"},{"family":"Clark","given":"Michael B"}],"issued":{"date-parts":[["2023",6,1]]}}}],"schema":"https://github.com/citation-style-language/schema/raw/master/csl-citation.json"} </w:instrText>
      </w:r>
      <w:r w:rsidR="3AB00C23" w:rsidRPr="00DA70A9">
        <w:rPr>
          <w:rFonts w:ascii="Arial" w:hAnsi="Arial" w:cs="Arial"/>
        </w:rPr>
        <w:fldChar w:fldCharType="separate"/>
      </w:r>
      <w:r w:rsidR="00F211BD" w:rsidRPr="00F211BD">
        <w:rPr>
          <w:rFonts w:ascii="Arial" w:hAnsi="Arial" w:cs="Arial"/>
          <w:szCs w:val="24"/>
          <w:vertAlign w:val="superscript"/>
        </w:rPr>
        <w:t>44</w:t>
      </w:r>
      <w:r w:rsidR="3AB00C23" w:rsidRPr="00DA70A9">
        <w:rPr>
          <w:rFonts w:ascii="Arial" w:hAnsi="Arial" w:cs="Arial"/>
        </w:rPr>
        <w:fldChar w:fldCharType="end"/>
      </w:r>
      <w:r w:rsidRPr="00DA70A9">
        <w:rPr>
          <w:rFonts w:ascii="Arial" w:hAnsi="Arial" w:cs="Arial"/>
        </w:rPr>
        <w:t>. TUSCO assessment revealed a higher number PTP at lower RINs, reflecting the enhanced RNA degradation associated with low RIN samples. Notably, the fraction of fully recovered TUSCO transcripts—calculated as TP / (TP + PTP)—strongly correlated with the RIN value (R = 0.</w:t>
      </w:r>
      <w:r w:rsidR="00112CAE" w:rsidRPr="00DA70A9">
        <w:rPr>
          <w:rFonts w:ascii="Arial" w:hAnsi="Arial" w:cs="Arial"/>
        </w:rPr>
        <w:t>88</w:t>
      </w:r>
      <w:r w:rsidRPr="00DA70A9">
        <w:rPr>
          <w:rFonts w:ascii="Arial" w:hAnsi="Arial" w:cs="Arial"/>
        </w:rPr>
        <w:t>, p = 1.</w:t>
      </w:r>
      <w:r w:rsidR="00112CAE" w:rsidRPr="00DA70A9">
        <w:rPr>
          <w:rFonts w:ascii="Arial" w:hAnsi="Arial" w:cs="Arial"/>
        </w:rPr>
        <w:t>4</w:t>
      </w:r>
      <w:r w:rsidR="008042F6" w:rsidRPr="00DA70A9">
        <w:rPr>
          <w:rFonts w:ascii="Arial" w:hAnsi="Arial" w:cs="Arial"/>
        </w:rPr>
        <w:t>10</w:t>
      </w:r>
      <w:r w:rsidRPr="007B6AD0">
        <w:rPr>
          <w:rFonts w:ascii="Arial" w:hAnsi="Arial" w:cs="Arial"/>
          <w:vertAlign w:val="superscript"/>
        </w:rPr>
        <w:t>−</w:t>
      </w:r>
      <w:r w:rsidR="00112CAE" w:rsidRPr="007B6AD0">
        <w:rPr>
          <w:rFonts w:ascii="Arial" w:hAnsi="Arial" w:cs="Arial"/>
          <w:vertAlign w:val="superscript"/>
        </w:rPr>
        <w:t>6</w:t>
      </w:r>
      <w:r w:rsidRPr="00DA70A9">
        <w:rPr>
          <w:rFonts w:ascii="Arial" w:hAnsi="Arial" w:cs="Arial"/>
        </w:rPr>
        <w:t>), whereas Sequins showed no correlation (R = 0.075, p = 0.77). These findings confirm TUSCO’s ability to capture subtle degradation or partial-transcript artifacts that may otherwise go undetected by external RNA spike-in controls.</w:t>
      </w:r>
    </w:p>
    <w:p w14:paraId="67E8E8C9" w14:textId="4477C06E" w:rsidR="00672828" w:rsidRPr="00DA70A9" w:rsidRDefault="79DAEAB0" w:rsidP="006C7777">
      <w:pPr>
        <w:spacing w:beforeAutospacing="1" w:afterAutospacing="1"/>
        <w:rPr>
          <w:rFonts w:ascii="Arial" w:hAnsi="Arial" w:cs="Arial"/>
        </w:rPr>
      </w:pPr>
      <w:r w:rsidRPr="00DA70A9">
        <w:rPr>
          <w:rFonts w:ascii="Arial" w:hAnsi="Arial" w:cs="Arial"/>
        </w:rPr>
        <w:t>We further examined false negative (FN) TUSCO genes across diverse assembly pipelines and sequencing technologies within the LRGASP dataset. We asked if we could find evidence of expression for all TUSCO genes in any of the LRGASP biological samples. We calculated the number of datasets where TUSCO genes were detected by at least one mapping read. We found that all TUSCO genes were detected in at least one dataset (Figure 3d), confirming their expression in the biological samples and their true False Negative status when not detected. Subsequently, we investigated the impact of sequencing depth and read-length quality on the occurrence of false negatives (Figure S2). Specifically, we correlated the number of false negatives with a composite metric defined as the logarithm of the total read count multiplied by the median read length. This analysis was conducted on pipelines utilizing exclusively long-read data as well as on those integrating both long-read and short-read sequencing. A pronounced negative correlation (Pearson r = –0.</w:t>
      </w:r>
      <w:r w:rsidR="006257EF" w:rsidRPr="00DA70A9">
        <w:rPr>
          <w:rFonts w:ascii="Arial" w:hAnsi="Arial" w:cs="Arial"/>
        </w:rPr>
        <w:t>82,</w:t>
      </w:r>
      <w:r w:rsidRPr="00DA70A9">
        <w:rPr>
          <w:rFonts w:ascii="Arial" w:hAnsi="Arial" w:cs="Arial"/>
        </w:rPr>
        <w:t xml:space="preserve"> p = </w:t>
      </w:r>
      <w:r w:rsidR="006257EF" w:rsidRPr="00DA70A9">
        <w:rPr>
          <w:rFonts w:ascii="Arial" w:hAnsi="Arial" w:cs="Arial"/>
        </w:rPr>
        <w:t>1.1</w:t>
      </w:r>
      <w:r w:rsidRPr="00DA70A9">
        <w:rPr>
          <w:rFonts w:ascii="Arial" w:hAnsi="Arial" w:cs="Arial"/>
        </w:rPr>
        <w:t xml:space="preserve"> × 10</w:t>
      </w:r>
      <w:r w:rsidRPr="007B6AD0">
        <w:rPr>
          <w:rFonts w:ascii="Arial" w:hAnsi="Arial" w:cs="Arial"/>
          <w:vertAlign w:val="superscript"/>
        </w:rPr>
        <w:t>–3</w:t>
      </w:r>
      <w:r w:rsidRPr="00DA70A9">
        <w:rPr>
          <w:rFonts w:ascii="Arial" w:hAnsi="Arial" w:cs="Arial"/>
        </w:rPr>
        <w:t>) was observed, indicating that as sequencing coverage and read length increase, the number of false negatives decreases. These findings suggest that the absence of TUSCO transcripts in specific pipelines predominantly reflects technical or coverage-based limitations, rather than a genuine lack of transcript expression, further validating the TUSCO dataset for benchmarking purposes.</w:t>
      </w:r>
    </w:p>
    <w:p w14:paraId="426D43DF" w14:textId="29D95604" w:rsidR="636D2CF6" w:rsidRPr="00DA70A9" w:rsidRDefault="3AB00C23" w:rsidP="006C7777">
      <w:pPr>
        <w:spacing w:beforeAutospacing="1" w:afterAutospacing="1"/>
        <w:rPr>
          <w:rFonts w:ascii="Arial" w:hAnsi="Arial" w:cs="Arial"/>
        </w:rPr>
      </w:pPr>
      <w:r w:rsidRPr="00DA70A9">
        <w:rPr>
          <w:rFonts w:ascii="Arial" w:hAnsi="Arial" w:cs="Arial"/>
        </w:rPr>
        <w:lastRenderedPageBreak/>
        <w:t>We concluded that, by reflecting real sample pitfalls—including RNA degradation, library preparation biases, and variable read depth—TUSCO provides a realistic, endogenously anchored benchmark strategy that surpasses synthetic controls such as SIRVs and Sequins.</w:t>
      </w:r>
    </w:p>
    <w:p w14:paraId="53A00370" w14:textId="7E972E14" w:rsidR="3AB00C23" w:rsidRPr="00DA70A9" w:rsidRDefault="3AB00C23" w:rsidP="006C7777">
      <w:pPr>
        <w:spacing w:beforeAutospacing="1" w:afterAutospacing="1"/>
        <w:rPr>
          <w:rFonts w:ascii="Arial" w:hAnsi="Arial" w:cs="Arial"/>
        </w:rPr>
      </w:pPr>
    </w:p>
    <w:p w14:paraId="2E5A53DB" w14:textId="41DD215D" w:rsidR="00A91C6F" w:rsidRPr="00A91C6F" w:rsidRDefault="636D2CF6" w:rsidP="00674793">
      <w:pPr>
        <w:spacing w:beforeAutospacing="1" w:afterAutospacing="1"/>
        <w:rPr>
          <w:rFonts w:ascii="Arial" w:hAnsi="Arial" w:cs="Arial"/>
          <w:i/>
          <w:iCs/>
        </w:rPr>
      </w:pPr>
      <w:r w:rsidRPr="00DA70A9">
        <w:rPr>
          <w:rFonts w:ascii="Arial" w:hAnsi="Arial" w:cs="Arial"/>
          <w:i/>
          <w:iCs/>
        </w:rPr>
        <w:t>TUSCO-novel Evaluates the Capacity of Reconstruction Tools to Detect Unannotated Isoforms</w:t>
      </w:r>
    </w:p>
    <w:p w14:paraId="5B1AD33A" w14:textId="55B12C29" w:rsidR="00720FD9" w:rsidRPr="00DA70A9" w:rsidRDefault="79DAEAB0" w:rsidP="006C7777">
      <w:pPr>
        <w:spacing w:beforeAutospacing="1" w:afterAutospacing="1"/>
        <w:rPr>
          <w:rFonts w:ascii="Arial" w:hAnsi="Arial" w:cs="Arial"/>
        </w:rPr>
      </w:pPr>
      <w:r w:rsidRPr="00DA70A9">
        <w:rPr>
          <w:rFonts w:ascii="Arial" w:hAnsi="Arial" w:cs="Arial"/>
        </w:rPr>
        <w:t>Since the TUSCO genes are well-annotated, they assess the capacity of long-read methods to detect known transcripts but do not reveal their accuracy in detecting novel transcripts, which often correspond to alternative isoforms of annotated genes</w:t>
      </w:r>
      <w:r w:rsidR="00C43B6D" w:rsidRPr="00DA70A9">
        <w:rPr>
          <w:rFonts w:ascii="Arial" w:hAnsi="Arial" w:cs="Arial"/>
        </w:rPr>
        <w:fldChar w:fldCharType="begin"/>
      </w:r>
      <w:r w:rsidR="00F211BD">
        <w:rPr>
          <w:rFonts w:ascii="Arial" w:hAnsi="Arial" w:cs="Arial"/>
        </w:rPr>
        <w:instrText xml:space="preserve"> ADDIN ZOTERO_ITEM CSL_CITATION {"citationID":"GPfREA3W","properties":{"formattedCitation":"\\super 45\\uc0\\u8211{}47\\nosupersub{}","plainCitation":"45–47","noteIndex":0},"citationItems":[{"id":206,"uris":["http://zotero.org/users/local/fy8HeEeu/items/WBILTIWM"],"itemData":{"id":206,"type":"article-journal","abstract":"Through alternative processing of pre-mRNAs, individual mammalian genes often produce multiple mRNA and protein isoforms that may have related, distinct or even opposing functions. Here we report an in-depth analysis of 15 diverse human tissue and cell line transcriptomes based on deep sequencing of cDNA fragments, yielding a digital inventory of gene and mRNA isoform expression. Analysis of mappings of sequence reads to exon-exon junctions indicated that 92-94% of human genes undergo alternative splicing (AS), </w:instrText>
      </w:r>
      <w:r w:rsidR="00F211BD">
        <w:rPr>
          <w:rFonts w:ascii="Cambria Math" w:hAnsi="Cambria Math" w:cs="Cambria Math"/>
        </w:rPr>
        <w:instrText>∼</w:instrText>
      </w:r>
      <w:r w:rsidR="00F211BD">
        <w:rPr>
          <w:rFonts w:ascii="Arial" w:hAnsi="Arial" w:cs="Arial"/>
        </w:rPr>
        <w:instrText xml:space="preserve">86% with a minor isoform frequency of 15% or more. Differences in isoform-specific read densities indicated that a majority of AS and of alternative cleavage and polyadenylation (APA) events vary between tissues, while variation between individuals was </w:instrText>
      </w:r>
      <w:r w:rsidR="00F211BD">
        <w:rPr>
          <w:rFonts w:ascii="Cambria Math" w:hAnsi="Cambria Math" w:cs="Cambria Math"/>
        </w:rPr>
        <w:instrText>∼</w:instrText>
      </w:r>
      <w:r w:rsidR="00F211BD">
        <w:rPr>
          <w:rFonts w:ascii="Arial" w:hAnsi="Arial" w:cs="Arial"/>
        </w:rPr>
        <w:instrText xml:space="preserve">2- to 3-fold less common. Extreme or ‘switch-like’ regulation of splicing between tissues was associated with increased sequence conservation in regulatory regions and with generation of full-length open reading frames. Patterns of AS and APA were strongly correlated across tissues, suggesting coordinated regulation of these processes, and sequence conservation of a subset of known regulatory motifs in both alternative introns and </w:instrText>
      </w:r>
      <w:r w:rsidR="00F211BD">
        <w:rPr>
          <w:rFonts w:ascii="Arial" w:hAnsi="Arial" w:cs="Arial" w:hint="eastAsia"/>
        </w:rPr>
        <w:instrText>3</w:instrText>
      </w:r>
      <w:r w:rsidR="00F211BD">
        <w:rPr>
          <w:rFonts w:ascii="Arial" w:hAnsi="Arial" w:cs="Arial" w:hint="eastAsia"/>
        </w:rPr>
        <w:instrText>′</w:instrText>
      </w:r>
      <w:r w:rsidR="00F211BD">
        <w:rPr>
          <w:rFonts w:ascii="Arial" w:hAnsi="Arial" w:cs="Arial" w:hint="eastAsia"/>
        </w:rPr>
        <w:instrText xml:space="preserve"> UTRs suggested common involvement of specific factors in tissue-level regulation of both splicing and polyadenylation.","container-title":"Nature","DOI":"10.1038/nature07509","ISSN":"0028-0836","issue":"7221","journalAbbreviation":"Nature","note":"PMID</w:instrText>
      </w:r>
      <w:r w:rsidR="00F211BD">
        <w:rPr>
          <w:rFonts w:ascii="Arial" w:hAnsi="Arial" w:cs="Arial"/>
        </w:rPr>
        <w:instrText xml:space="preserve">: 18978772\nPMCID: PMC2593745","page":"470-476","source":"PubMed Central","title":"Alternative Isoform Regulation in Human Tissue Transcriptomes","volume":"456","author":[{"family":"Wang","given":"Eric T."},{"family":"Sandberg","given":"Rickard"},{"family":"Luo","given":"Shujun"},{"family":"Khrebtukova","given":"Irina"},{"family":"Zhang","given":"Lu"},{"family":"Mayr","given":"Christine"},{"family":"Kingsmore","given":"Stephen F."},{"family":"Schroth","given":"Gary P."},{"family":"Burge","given":"Christopher B."}],"issued":{"date-parts":[["2008",11,27]]}}},{"id":208,"uris":["http://zotero.org/users/local/fy8HeEeu/items/4XK48Q5Z"],"itemData":{"id":208,"type":"article-journal","abstract":"We carried out the first analysis of alternative splicing complexity in human tissues using mRNA-Seq data. New splice junctions were detected in approximately 20% of multiexon genes, many of which are tissue specific. By combining mRNA-Seq and EST-cDNA sequence data, we estimate that transcripts from approximately 95% of multiexon genes undergo alternative splicing and that there are approximately 100,000 intermediate- to high-abundance alternative splicing events in major human tissues. From a comparison with quantitative alternative splicing microarray profiling data, we also show that mRNA-Seq data provide reliable measurements for exon inclusion levels.","container-title":"Nature Genetics","DOI":"10.1038/ng.259","ISSN":"1546-1718","issue":"12","journalAbbreviation":"Nat Genet","language":"eng","note":"PMID: 18978789","page":"1413-1415","source":"PubMed","title":"Deep surveying of alternative splicing complexity in the human transcriptome by high-throughput sequencing","volume":"40","author":[{"family":"Pan","given":"Qun"},{"family":"Shai","given":"Ofer"},{"family":"Lee","given":"Leo J."},{"family":"Frey","given":"Brendan J."},{"family":"Blencowe","given":"Benjamin J."}],"issued":{"date-parts":[["2008",12]]}}},{"id":210,"uris":["http://zotero.org/users/local/fy8HeEeu/items/7QVHDYVS"],"itemData":{"id":210,"type":"article-journal","abstract":"The advancement of Long-Read Sequencing (LRS) techniques has significantly increased the length of sequencing to several kilobases, thereby facilitating the identification of alternative splicing events and isoform expressions. Recently, numerous computational tools for isoform detection using long-read sequencing data have been developed. Nevertheless, there remains a deficiency in comparative studies that systemically evaluate the performance of these tools, which are implemented with different algorithms, under various simulations that encompass potential influencing factors. In this study, we conducted a benchmark analysis of thirteen methods implemented in nine tools capable of identifying isoform structures from long-read RNA-seq data. We evaluated their performances using simulated data, which represented diverse sequencing platforms generated by an in-house simulator, RNA sequins (sequencing spike-ins) data, as well as experimental data. Our findings demonstrate IsoQuant as a highly effective tool for isoform detection with LRS, with Bambu and StringTie2 also exhibiting strong performance. These results offer valuable guidance for future research on alternative splicing analysis and the ongoing improvement of tools for isoform detection using LRS data.","container-title":"Nature Communications","DOI":"10.1038/s41467-024-48117-3","ISSN":"2041-1723","issue":"1","journalAbbreviation":"Nat Commun","language":"en","license":"2024 The Author(s)","note":"publisher: Nature Publishing Group","page":"3972","source":"www.nature.com","title":"Comprehensive assessment of mRNA isoform detection methods for long-read sequencing data","volume":"15","author":[{"family":"Su","given":"Yaqi"},{"family":"Yu","given":"Zhejian"},{"family":"Jin","given":"Siqian"},{"family":"Ai","given":"Zhipeng"},{"family":"Yuan","given":"Ruihong"},{"family":"Chen","given":"Xinyi"},{"family":"Xue","given":"Ziwei"},{"family":"Guo","given":"Yixin"},{"family":"Chen","given":"Di"},{"family":"Liang","given":"Hongqing"},{"family":"Liu","given":"Zuozhu"},{"family":"Liu","given":"Wanlu"}],"issued":{"date-parts":[["2024",5,10]]}}}],"schema":"https://github.com/citation-style-language/schema/raw/master/csl-citation.json"} </w:instrText>
      </w:r>
      <w:r w:rsidR="00C43B6D" w:rsidRPr="00DA70A9">
        <w:rPr>
          <w:rFonts w:ascii="Arial" w:hAnsi="Arial" w:cs="Arial"/>
        </w:rPr>
        <w:fldChar w:fldCharType="separate"/>
      </w:r>
      <w:r w:rsidR="00F211BD" w:rsidRPr="00F211BD">
        <w:rPr>
          <w:rFonts w:ascii="Arial" w:hAnsi="Arial" w:cs="Arial"/>
          <w:szCs w:val="24"/>
          <w:vertAlign w:val="superscript"/>
        </w:rPr>
        <w:t>45–47</w:t>
      </w:r>
      <w:r w:rsidR="00C43B6D" w:rsidRPr="00DA70A9">
        <w:rPr>
          <w:rFonts w:ascii="Arial" w:hAnsi="Arial" w:cs="Arial"/>
        </w:rPr>
        <w:fldChar w:fldCharType="end"/>
      </w:r>
      <w:r w:rsidRPr="00DA70A9">
        <w:rPr>
          <w:rFonts w:ascii="Arial" w:hAnsi="Arial" w:cs="Arial"/>
        </w:rPr>
        <w:t>. To address this shortcoming, we developed a strategy to use the TUSCO framework to assess novel transcript calls. For each single-isoform TUSCO gene, we modified its transcript model in the reference annotation by removing one of the annotated splice junctions, inserting a plausible but artificial junction, and supplying this altered transcript model as the sole reference. This effectively updates the annotation of the single-isoform genes to reflect a non-existing transcript while omitting the real, expressed transcript (</w:t>
      </w:r>
      <w:r w:rsidR="00743254">
        <w:rPr>
          <w:rFonts w:ascii="Arial" w:hAnsi="Arial" w:cs="Arial"/>
        </w:rPr>
        <w:t>Figure</w:t>
      </w:r>
      <w:r w:rsidRPr="00DA70A9">
        <w:rPr>
          <w:rFonts w:ascii="Arial" w:hAnsi="Arial" w:cs="Arial"/>
        </w:rPr>
        <w:t xml:space="preserve"> 4a). Isoform reconstruction tools with capacity for detecting novel transcripts should call the true isoform despite a misleading annotation. We applied TUSCO-novel to Bambu, StringTie2, FLAIR, and the Iso-Seq + SQANTI3 ML pipeline across PacBio and ONT </w:t>
      </w:r>
      <w:proofErr w:type="spellStart"/>
      <w:r w:rsidRPr="00DA70A9">
        <w:rPr>
          <w:rFonts w:ascii="Arial" w:hAnsi="Arial" w:cs="Arial"/>
        </w:rPr>
        <w:t>CapTrap</w:t>
      </w:r>
      <w:proofErr w:type="spellEnd"/>
      <w:r w:rsidRPr="00DA70A9">
        <w:rPr>
          <w:rFonts w:ascii="Arial" w:hAnsi="Arial" w:cs="Arial"/>
        </w:rPr>
        <w:t xml:space="preserve"> and cDNA libraries in human and mouse (LRGASP). Performance with the native reference annotation (solid polygons, </w:t>
      </w:r>
      <w:r w:rsidR="00743254">
        <w:rPr>
          <w:rFonts w:ascii="Arial" w:hAnsi="Arial" w:cs="Arial"/>
        </w:rPr>
        <w:t>Figure</w:t>
      </w:r>
      <w:r w:rsidRPr="00DA70A9">
        <w:rPr>
          <w:rFonts w:ascii="Arial" w:hAnsi="Arial" w:cs="Arial"/>
        </w:rPr>
        <w:t xml:space="preserve"> 4b) was contrasted with performance under TUSCO-novel (dashed polygons).</w:t>
      </w:r>
    </w:p>
    <w:p w14:paraId="6324E0D0" w14:textId="717E8319" w:rsidR="00C7200F" w:rsidRPr="00DA70A9" w:rsidRDefault="79DAEAB0" w:rsidP="006C7777">
      <w:pPr>
        <w:spacing w:beforeAutospacing="1" w:afterAutospacing="1"/>
        <w:rPr>
          <w:rFonts w:ascii="Arial" w:hAnsi="Arial" w:cs="Arial"/>
        </w:rPr>
      </w:pPr>
      <w:r w:rsidRPr="00DA70A9">
        <w:rPr>
          <w:rFonts w:ascii="Arial" w:hAnsi="Arial" w:cs="Arial"/>
        </w:rPr>
        <w:t>The results reveal clear distinctions in tool behavior. Bambu and StringTie2, which rely heavily on reference guidance, exhibited high performance when the true annotation was available but failed almost completely to recover the true TUSCO isoforms when only the novel simulation was provided. This sharp drop indicates that reference-driven tools struggle to detect truly novel splice junctions, even when read support is present (Figure 4b, Figure S3a-d). FLAIR demonstrated a more balanced profile, partially recovering the original TUSCO isoforms in the simulated novel context. However, the number of FPs and FNs remains elevated (Figure 4b, Figure S</w:t>
      </w:r>
      <w:r w:rsidR="00CF6E34">
        <w:rPr>
          <w:rFonts w:ascii="Arial" w:hAnsi="Arial" w:cs="Arial"/>
        </w:rPr>
        <w:t>4</w:t>
      </w:r>
      <w:r w:rsidRPr="00DA70A9">
        <w:rPr>
          <w:rFonts w:ascii="Arial" w:hAnsi="Arial" w:cs="Arial"/>
        </w:rPr>
        <w:t xml:space="preserve">e, f) under TUSCO-novel. Iso-Seq and SQ3 ML controlled FPs best across all pipelines, with 0 FPs reported under TUSCO-novel (Figure </w:t>
      </w:r>
      <w:r w:rsidR="00CF6E34">
        <w:rPr>
          <w:rFonts w:ascii="Arial" w:hAnsi="Arial" w:cs="Arial"/>
        </w:rPr>
        <w:t>4</w:t>
      </w:r>
      <w:r w:rsidRPr="00DA70A9">
        <w:rPr>
          <w:rFonts w:ascii="Arial" w:hAnsi="Arial" w:cs="Arial"/>
        </w:rPr>
        <w:t xml:space="preserve">3g, h). We hypothesize that this is because this pipeline combines the ability of Iso-Seq -reference-free data-driven method- for transcript discovery with the SQ3 filter that removes transcripts models lacking junction support from complementary data, thereby improving precision for novel transcripts. The relatively lower sensitivity and non-redundant precision reflects the lack of TSS or TTS adjustment against the </w:t>
      </w:r>
      <w:r w:rsidR="0057506F" w:rsidRPr="00DA70A9">
        <w:rPr>
          <w:rFonts w:ascii="Arial" w:hAnsi="Arial" w:cs="Arial"/>
        </w:rPr>
        <w:t>reference</w:t>
      </w:r>
      <w:r w:rsidRPr="00DA70A9">
        <w:rPr>
          <w:rFonts w:ascii="Arial" w:hAnsi="Arial" w:cs="Arial"/>
        </w:rPr>
        <w:t xml:space="preserve"> of the Iso-Seq pipeline, which results in non-RM transcripts classified as partial true positives (Figure 4, Figure S</w:t>
      </w:r>
      <w:r w:rsidR="00CF6E34">
        <w:rPr>
          <w:rFonts w:ascii="Arial" w:hAnsi="Arial" w:cs="Arial"/>
        </w:rPr>
        <w:t>4</w:t>
      </w:r>
      <w:r w:rsidRPr="00DA70A9">
        <w:rPr>
          <w:rFonts w:ascii="Arial" w:hAnsi="Arial" w:cs="Arial"/>
        </w:rPr>
        <w:t xml:space="preserve">g, h). </w:t>
      </w:r>
      <w:r w:rsidR="0038764B" w:rsidRPr="00DA70A9">
        <w:rPr>
          <w:rFonts w:ascii="Arial" w:hAnsi="Arial" w:cs="Arial"/>
        </w:rPr>
        <w:t>To verify this hypothesis, we calculated the read overlap over the true TUSCO transcript for PTP and TP separately in human and mouse. We found that, in human, TP have long-read coverage of 96.92 ± 10.22% of the TUSCO transcript length, dropping to 64.77 ± 62.90% for PTP; in mouse, TP coverage is 96.46 ± 9.72% versus 75.58 ± 29.56% for PTP. These results confirm the impact of read length on TUSCO transcript detection for reference-free methods</w:t>
      </w:r>
      <w:r w:rsidR="00A57CEA" w:rsidRPr="00DA70A9">
        <w:rPr>
          <w:rFonts w:ascii="Arial" w:hAnsi="Arial" w:cs="Arial"/>
        </w:rPr>
        <w:t xml:space="preserve"> (Figure S</w:t>
      </w:r>
      <w:r w:rsidR="00CF6E34">
        <w:rPr>
          <w:rFonts w:ascii="Arial" w:hAnsi="Arial" w:cs="Arial"/>
        </w:rPr>
        <w:t>5</w:t>
      </w:r>
      <w:r w:rsidR="00A57CEA" w:rsidRPr="00DA70A9">
        <w:rPr>
          <w:rFonts w:ascii="Arial" w:hAnsi="Arial" w:cs="Arial"/>
        </w:rPr>
        <w:t>)</w:t>
      </w:r>
      <w:r w:rsidR="0038764B" w:rsidRPr="00DA70A9">
        <w:rPr>
          <w:rFonts w:ascii="Arial" w:hAnsi="Arial" w:cs="Arial"/>
        </w:rPr>
        <w:t>.</w:t>
      </w:r>
    </w:p>
    <w:p w14:paraId="32515D73" w14:textId="0E324F1E" w:rsidR="00D62D0C" w:rsidRPr="00DA70A9" w:rsidRDefault="79DAEAB0" w:rsidP="006C7777">
      <w:pPr>
        <w:spacing w:beforeAutospacing="1" w:afterAutospacing="1"/>
        <w:rPr>
          <w:rFonts w:ascii="Arial" w:hAnsi="Arial" w:cs="Arial"/>
        </w:rPr>
      </w:pPr>
      <w:r w:rsidRPr="00DA70A9">
        <w:rPr>
          <w:rFonts w:ascii="Arial" w:hAnsi="Arial" w:cs="Arial"/>
        </w:rPr>
        <w:t>Collectively, these findings demonstrate that TUSCO-novel provides a realistic, controlled framework to evaluate novel isoform discovery under practical conditions where the available reference may be misleading or incomplete. By simulating biologically plausible isoforms at real genomic loci, TUSCO-novel distinguishes between tools that strong base transcript calls on the annotation and those capable of reference-agnostic, data-driven transcript reconstruction—a key requirement for transcriptomics in emerging models, under-characterized tissues, or disease contexts.</w:t>
      </w:r>
    </w:p>
    <w:p w14:paraId="05A9A721" w14:textId="49292D73" w:rsidR="006D0073" w:rsidRPr="00DA70A9" w:rsidRDefault="00922D2E" w:rsidP="006C7777">
      <w:pPr>
        <w:spacing w:beforeAutospacing="1" w:afterAutospacing="1"/>
        <w:rPr>
          <w:rFonts w:ascii="Arial" w:hAnsi="Arial" w:cs="Arial"/>
          <w:noProof/>
        </w:rPr>
      </w:pPr>
      <w:r>
        <w:rPr>
          <w:rFonts w:ascii="Arial" w:hAnsi="Arial" w:cs="Arial"/>
          <w:b/>
          <w:bCs/>
          <w:noProof/>
        </w:rPr>
        <w:lastRenderedPageBreak/>
        <w:drawing>
          <wp:inline distT="0" distB="0" distL="0" distR="0" wp14:anchorId="4BC182B2" wp14:editId="777DCB06">
            <wp:extent cx="5943600" cy="5310505"/>
            <wp:effectExtent l="0" t="0" r="0" b="0"/>
            <wp:docPr id="753688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8646" name="Picture 753688646"/>
                    <pic:cNvPicPr/>
                  </pic:nvPicPr>
                  <pic:blipFill>
                    <a:blip r:embed="rId15"/>
                    <a:stretch>
                      <a:fillRect/>
                    </a:stretch>
                  </pic:blipFill>
                  <pic:spPr>
                    <a:xfrm>
                      <a:off x="0" y="0"/>
                      <a:ext cx="5943600" cy="5310505"/>
                    </a:xfrm>
                    <a:prstGeom prst="rect">
                      <a:avLst/>
                    </a:prstGeom>
                  </pic:spPr>
                </pic:pic>
              </a:graphicData>
            </a:graphic>
          </wp:inline>
        </w:drawing>
      </w:r>
      <w:r w:rsidR="79DAEAB0" w:rsidRPr="00DA70A9">
        <w:rPr>
          <w:rFonts w:ascii="Arial" w:hAnsi="Arial" w:cs="Arial"/>
          <w:b/>
          <w:bCs/>
        </w:rPr>
        <w:t>Figure 4. TUSCO-novel benchmark for evaluating multi-exon transcript discovery.</w:t>
      </w:r>
      <w:r w:rsidR="79DAEAB0" w:rsidRPr="00DA70A9">
        <w:rPr>
          <w:rFonts w:ascii="Arial" w:hAnsi="Arial" w:cs="Arial"/>
        </w:rPr>
        <w:t xml:space="preserve"> </w:t>
      </w:r>
      <w:commentRangeStart w:id="13"/>
      <w:r w:rsidR="79DAEAB0" w:rsidRPr="00DA70A9">
        <w:rPr>
          <w:rFonts w:ascii="Arial" w:hAnsi="Arial" w:cs="Arial"/>
          <w:b/>
          <w:bCs/>
        </w:rPr>
        <w:t>a</w:t>
      </w:r>
      <w:r w:rsidR="79DAEAB0" w:rsidRPr="00DA70A9">
        <w:rPr>
          <w:rFonts w:ascii="Arial" w:hAnsi="Arial" w:cs="Arial"/>
        </w:rPr>
        <w:t xml:space="preserve"> </w:t>
      </w:r>
      <w:commentRangeEnd w:id="13"/>
      <w:r w:rsidR="00CE150A" w:rsidRPr="00DA70A9">
        <w:rPr>
          <w:rStyle w:val="CommentReference"/>
          <w:rFonts w:ascii="Arial" w:hAnsi="Arial" w:cs="Arial"/>
          <w:sz w:val="20"/>
          <w:szCs w:val="20"/>
        </w:rPr>
        <w:commentReference w:id="13"/>
      </w:r>
      <w:r w:rsidR="79DAEAB0" w:rsidRPr="00DA70A9">
        <w:rPr>
          <w:rFonts w:ascii="Arial" w:hAnsi="Arial" w:cs="Arial"/>
        </w:rPr>
        <w:t xml:space="preserve">Schematic of the TUSCO-novel approach. The native TUSCO multi-exon isoform is removed from the annotation and replaced with a simulated transcript model carrying artificial donor and acceptor splice sites. The modified annotation is used as input to reconstruction pipelines to assess their ability to recover the true (but now unannotated) isoform. </w:t>
      </w:r>
      <w:r w:rsidR="79DAEAB0" w:rsidRPr="00DA70A9">
        <w:rPr>
          <w:rFonts w:ascii="Arial" w:hAnsi="Arial" w:cs="Arial"/>
          <w:b/>
          <w:bCs/>
        </w:rPr>
        <w:t>b</w:t>
      </w:r>
      <w:r w:rsidR="79DAEAB0" w:rsidRPr="00DA70A9">
        <w:rPr>
          <w:rFonts w:ascii="Arial" w:hAnsi="Arial" w:cs="Arial"/>
        </w:rPr>
        <w:t xml:space="preserve"> Radar plots comparing performance metrics (sensitivity, precision, 1/FDR, redundancy, PDR, and 1/redundancy) for four reconstruction tools—Bambu, StringTie2, FLAIR, and FLAIR+SQ3 ML—across human and mouse samples using different library types. Solid lines represent results using the original reference annotation; dashed lines represent performance using the TUSCO-novel simulated annotation.</w:t>
      </w:r>
    </w:p>
    <w:p w14:paraId="5D85336B" w14:textId="66EFA8D5" w:rsidR="6984ADC4" w:rsidRDefault="6984ADC4" w:rsidP="6984ADC4">
      <w:pPr>
        <w:spacing w:beforeAutospacing="1" w:afterAutospacing="1"/>
        <w:rPr>
          <w:rFonts w:ascii="Arial" w:hAnsi="Arial" w:cs="Arial"/>
        </w:rPr>
      </w:pPr>
    </w:p>
    <w:p w14:paraId="587D4B98" w14:textId="77777777" w:rsidR="006D0073" w:rsidRPr="00DA70A9" w:rsidRDefault="006D0073" w:rsidP="006C7777">
      <w:pPr>
        <w:pStyle w:val="NormalWeb"/>
        <w:jc w:val="both"/>
        <w:rPr>
          <w:rFonts w:ascii="Arial" w:eastAsiaTheme="minorEastAsia" w:hAnsi="Arial" w:cs="Arial"/>
          <w:i/>
          <w:iCs/>
          <w:sz w:val="20"/>
          <w:szCs w:val="20"/>
        </w:rPr>
      </w:pPr>
      <w:bookmarkStart w:id="14" w:name="OLE_LINK2"/>
      <w:r w:rsidRPr="00DA70A9">
        <w:rPr>
          <w:rFonts w:ascii="Arial" w:eastAsiaTheme="minorEastAsia" w:hAnsi="Arial" w:cs="Arial"/>
          <w:i/>
          <w:iCs/>
          <w:sz w:val="20"/>
          <w:szCs w:val="20"/>
        </w:rPr>
        <w:t>TUSCO helps assess replication in PacBio long-read transcriptomics</w:t>
      </w:r>
    </w:p>
    <w:bookmarkEnd w:id="14"/>
    <w:p w14:paraId="6EE62BD5" w14:textId="0F28A4DC" w:rsidR="00A91C6F" w:rsidRPr="00674793" w:rsidRDefault="00A91C6F" w:rsidP="00A91C6F">
      <w:pPr>
        <w:spacing w:beforeAutospacing="1" w:afterAutospacing="1"/>
        <w:rPr>
          <w:rFonts w:ascii="Arial" w:hAnsi="Arial" w:cs="Arial"/>
        </w:rPr>
      </w:pPr>
      <w:r w:rsidRPr="00674793">
        <w:rPr>
          <w:rFonts w:ascii="Arial" w:hAnsi="Arial" w:cs="Arial"/>
        </w:rPr>
        <w:t xml:space="preserve">One of the most pressing questions in long-read RNA sequencing is how much replication is needed for consistent results. </w:t>
      </w:r>
      <w:r w:rsidR="370B6CBF" w:rsidRPr="370B6CBF">
        <w:rPr>
          <w:rFonts w:ascii="Arial" w:hAnsi="Arial" w:cs="Arial"/>
        </w:rPr>
        <w:t>We asked if TUSCO could be</w:t>
      </w:r>
      <w:r w:rsidRPr="00674793">
        <w:rPr>
          <w:rFonts w:ascii="Arial" w:hAnsi="Arial" w:cs="Arial"/>
        </w:rPr>
        <w:t xml:space="preserve"> used to </w:t>
      </w:r>
      <w:r w:rsidR="370B6CBF" w:rsidRPr="370B6CBF">
        <w:rPr>
          <w:rFonts w:ascii="Arial" w:hAnsi="Arial" w:cs="Arial"/>
        </w:rPr>
        <w:t>evaluate how</w:t>
      </w:r>
      <w:r w:rsidRPr="00674793">
        <w:rPr>
          <w:rFonts w:ascii="Arial" w:hAnsi="Arial" w:cs="Arial"/>
        </w:rPr>
        <w:t xml:space="preserve"> replication </w:t>
      </w:r>
      <w:r w:rsidR="370B6CBF" w:rsidRPr="370B6CBF">
        <w:rPr>
          <w:rFonts w:ascii="Arial" w:hAnsi="Arial" w:cs="Arial"/>
        </w:rPr>
        <w:t>impacts</w:t>
      </w:r>
      <w:r w:rsidRPr="00674793">
        <w:rPr>
          <w:rFonts w:ascii="Arial" w:hAnsi="Arial" w:cs="Arial"/>
        </w:rPr>
        <w:t xml:space="preserve"> sensitivity and precision. Five cDNA libraries were generated from mouse brain and kidney and sequenced on the PacBio </w:t>
      </w:r>
      <w:r w:rsidRPr="00674793">
        <w:rPr>
          <w:rFonts w:ascii="Arial" w:hAnsi="Arial" w:cs="Arial"/>
        </w:rPr>
        <w:lastRenderedPageBreak/>
        <w:t xml:space="preserve">Sequel </w:t>
      </w:r>
      <w:proofErr w:type="spellStart"/>
      <w:r w:rsidRPr="00674793">
        <w:rPr>
          <w:rFonts w:ascii="Arial" w:hAnsi="Arial" w:cs="Arial"/>
        </w:rPr>
        <w:t>IIe</w:t>
      </w:r>
      <w:proofErr w:type="spellEnd"/>
      <w:r w:rsidRPr="00674793">
        <w:rPr>
          <w:rFonts w:ascii="Arial" w:hAnsi="Arial" w:cs="Arial"/>
        </w:rPr>
        <w:t xml:space="preserve"> (~5 M reads per sample; Supplementary Table 2). We computed TUSCO metrics in a multi-sample intersection mode—i.e., on transcripts consistently identified across the selected replicates (Fig. 5a).</w:t>
      </w:r>
    </w:p>
    <w:p w14:paraId="0F2C821E" w14:textId="10CBA224" w:rsidR="00A91C6F" w:rsidRPr="00674793" w:rsidRDefault="00A91C6F" w:rsidP="00A91C6F">
      <w:pPr>
        <w:spacing w:beforeAutospacing="1" w:afterAutospacing="1"/>
        <w:rPr>
          <w:rFonts w:ascii="Arial" w:hAnsi="Arial" w:cs="Arial"/>
        </w:rPr>
      </w:pPr>
      <w:r w:rsidRPr="00674793">
        <w:rPr>
          <w:rFonts w:ascii="Arial" w:hAnsi="Arial" w:cs="Arial"/>
        </w:rPr>
        <w:t xml:space="preserve">A single 5 M-read replicate already recovered most TUSCO transcripts (brain: Sn = 83.3%, PDR = 96.7%; kidney: Sn = 73.3%, PDR = 93.3%), but precision was lower (brain: </w:t>
      </w:r>
      <w:proofErr w:type="spellStart"/>
      <w:r w:rsidRPr="00674793">
        <w:rPr>
          <w:rFonts w:ascii="Arial" w:hAnsi="Arial" w:cs="Arial"/>
        </w:rPr>
        <w:t>Pr</w:t>
      </w:r>
      <w:proofErr w:type="spellEnd"/>
      <w:r w:rsidRPr="00674793">
        <w:rPr>
          <w:rFonts w:ascii="Arial" w:hAnsi="Arial" w:cs="Arial"/>
        </w:rPr>
        <w:t xml:space="preserve"> = 80.6</w:t>
      </w:r>
      <w:r w:rsidR="370B6CBF" w:rsidRPr="370B6CBF">
        <w:rPr>
          <w:rFonts w:ascii="Arial" w:hAnsi="Arial" w:cs="Arial"/>
        </w:rPr>
        <w:t xml:space="preserve">%; kidney: </w:t>
      </w:r>
      <w:proofErr w:type="spellStart"/>
      <w:r w:rsidR="370B6CBF" w:rsidRPr="370B6CBF">
        <w:rPr>
          <w:rFonts w:ascii="Arial" w:hAnsi="Arial" w:cs="Arial"/>
        </w:rPr>
        <w:t>Pr</w:t>
      </w:r>
      <w:proofErr w:type="spellEnd"/>
      <w:r w:rsidR="370B6CBF" w:rsidRPr="370B6CBF">
        <w:rPr>
          <w:rFonts w:ascii="Arial" w:hAnsi="Arial" w:cs="Arial"/>
        </w:rPr>
        <w:t xml:space="preserve"> = 62.9% ), leading to high False Discovery Rates (brain:</w:t>
      </w:r>
      <w:r w:rsidRPr="00674793">
        <w:rPr>
          <w:rFonts w:ascii="Arial" w:hAnsi="Arial" w:cs="Arial"/>
        </w:rPr>
        <w:t xml:space="preserve"> FDR = 19.4%; kidney: FDR = 37.1</w:t>
      </w:r>
      <w:r w:rsidR="370B6CBF" w:rsidRPr="370B6CBF">
        <w:rPr>
          <w:rFonts w:ascii="Arial" w:hAnsi="Arial" w:cs="Arial"/>
        </w:rPr>
        <w:t>%)</w:t>
      </w:r>
      <w:r w:rsidRPr="00674793">
        <w:rPr>
          <w:rFonts w:ascii="Arial" w:hAnsi="Arial" w:cs="Arial"/>
        </w:rPr>
        <w:t xml:space="preserve"> Requiring </w:t>
      </w:r>
      <w:r w:rsidR="370B6CBF" w:rsidRPr="370B6CBF">
        <w:rPr>
          <w:rFonts w:ascii="Arial" w:hAnsi="Arial" w:cs="Arial"/>
        </w:rPr>
        <w:t>transcript to be detected by</w:t>
      </w:r>
      <w:r w:rsidRPr="00674793">
        <w:rPr>
          <w:rFonts w:ascii="Arial" w:hAnsi="Arial" w:cs="Arial"/>
        </w:rPr>
        <w:t xml:space="preserve"> ≥2 replicates sharply reduced false positives with minimal sensitivity loss: precision rose to 85.7% (brain) and 81.5% (kidney) with FDR </w:t>
      </w:r>
      <w:r w:rsidR="370B6CBF" w:rsidRPr="370B6CBF">
        <w:rPr>
          <w:rFonts w:ascii="Arial" w:hAnsi="Arial" w:cs="Arial"/>
        </w:rPr>
        <w:t>dropping</w:t>
      </w:r>
      <w:r w:rsidRPr="00674793">
        <w:rPr>
          <w:rFonts w:ascii="Arial" w:hAnsi="Arial" w:cs="Arial"/>
        </w:rPr>
        <w:t xml:space="preserve"> to 14.3% and 18.5%, respectively</w:t>
      </w:r>
      <w:r w:rsidR="370B6CBF" w:rsidRPr="370B6CBF">
        <w:rPr>
          <w:rFonts w:ascii="Arial" w:hAnsi="Arial" w:cs="Arial"/>
        </w:rPr>
        <w:t xml:space="preserve">. Sensitivity in </w:t>
      </w:r>
      <w:proofErr w:type="gramStart"/>
      <w:r w:rsidR="370B6CBF" w:rsidRPr="370B6CBF">
        <w:rPr>
          <w:rFonts w:ascii="Arial" w:hAnsi="Arial" w:cs="Arial"/>
        </w:rPr>
        <w:t xml:space="preserve">the </w:t>
      </w:r>
      <w:r w:rsidRPr="00674793">
        <w:rPr>
          <w:rFonts w:ascii="Arial" w:hAnsi="Arial" w:cs="Arial"/>
        </w:rPr>
        <w:t xml:space="preserve"> brain</w:t>
      </w:r>
      <w:proofErr w:type="gramEnd"/>
      <w:r w:rsidRPr="00674793">
        <w:rPr>
          <w:rFonts w:ascii="Arial" w:hAnsi="Arial" w:cs="Arial"/>
        </w:rPr>
        <w:t xml:space="preserve"> </w:t>
      </w:r>
      <w:r w:rsidR="370B6CBF" w:rsidRPr="370B6CBF">
        <w:rPr>
          <w:rFonts w:ascii="Arial" w:hAnsi="Arial" w:cs="Arial"/>
        </w:rPr>
        <w:t>samples</w:t>
      </w:r>
      <w:r w:rsidRPr="00674793">
        <w:rPr>
          <w:rFonts w:ascii="Arial" w:hAnsi="Arial" w:cs="Arial"/>
        </w:rPr>
        <w:t xml:space="preserve"> decreased slightly to 80.0% </w:t>
      </w:r>
      <w:r w:rsidR="370B6CBF" w:rsidRPr="370B6CBF">
        <w:rPr>
          <w:rFonts w:ascii="Arial" w:hAnsi="Arial" w:cs="Arial"/>
        </w:rPr>
        <w:t>while this parameter</w:t>
      </w:r>
      <w:r w:rsidRPr="00674793">
        <w:rPr>
          <w:rFonts w:ascii="Arial" w:hAnsi="Arial" w:cs="Arial"/>
        </w:rPr>
        <w:t xml:space="preserve"> was unchanged </w:t>
      </w:r>
      <w:r w:rsidR="370B6CBF" w:rsidRPr="370B6CBF">
        <w:rPr>
          <w:rFonts w:ascii="Arial" w:hAnsi="Arial" w:cs="Arial"/>
        </w:rPr>
        <w:t xml:space="preserve">for kidney </w:t>
      </w:r>
      <w:r w:rsidRPr="00674793">
        <w:rPr>
          <w:rFonts w:ascii="Arial" w:hAnsi="Arial" w:cs="Arial"/>
        </w:rPr>
        <w:t xml:space="preserve">(73.3%). With 3–5 replicates, precision </w:t>
      </w:r>
      <w:r w:rsidR="370B6CBF" w:rsidRPr="370B6CBF">
        <w:rPr>
          <w:rFonts w:ascii="Arial" w:hAnsi="Arial" w:cs="Arial"/>
        </w:rPr>
        <w:t xml:space="preserve">in brain </w:t>
      </w:r>
      <w:r w:rsidRPr="00674793">
        <w:rPr>
          <w:rFonts w:ascii="Arial" w:hAnsi="Arial" w:cs="Arial"/>
        </w:rPr>
        <w:t xml:space="preserve">stabilized around ~89.3% at stable sensitivity </w:t>
      </w:r>
      <w:r w:rsidR="370B6CBF" w:rsidRPr="370B6CBF">
        <w:rPr>
          <w:rFonts w:ascii="Arial" w:hAnsi="Arial" w:cs="Arial"/>
        </w:rPr>
        <w:t>of ~</w:t>
      </w:r>
      <w:r w:rsidRPr="00674793">
        <w:rPr>
          <w:rFonts w:ascii="Arial" w:hAnsi="Arial" w:cs="Arial"/>
        </w:rPr>
        <w:t>83.3</w:t>
      </w:r>
      <w:r w:rsidR="370B6CBF" w:rsidRPr="370B6CBF">
        <w:rPr>
          <w:rFonts w:ascii="Arial" w:hAnsi="Arial" w:cs="Arial"/>
        </w:rPr>
        <w:t>%,</w:t>
      </w:r>
      <w:r w:rsidRPr="00674793">
        <w:rPr>
          <w:rFonts w:ascii="Arial" w:hAnsi="Arial" w:cs="Arial"/>
        </w:rPr>
        <w:t xml:space="preserve"> while kidney sensitivity increased modestly (to 76.7%</w:t>
      </w:r>
      <w:proofErr w:type="gramStart"/>
      <w:r w:rsidRPr="00674793">
        <w:rPr>
          <w:rFonts w:ascii="Arial" w:hAnsi="Arial" w:cs="Arial"/>
        </w:rPr>
        <w:t>)</w:t>
      </w:r>
      <w:proofErr w:type="gramEnd"/>
      <w:r w:rsidRPr="00674793">
        <w:rPr>
          <w:rFonts w:ascii="Arial" w:hAnsi="Arial" w:cs="Arial"/>
        </w:rPr>
        <w:t xml:space="preserve"> and precision plateaued near </w:t>
      </w:r>
      <w:r w:rsidR="370B6CBF" w:rsidRPr="370B6CBF">
        <w:rPr>
          <w:rFonts w:ascii="Arial" w:hAnsi="Arial" w:cs="Arial"/>
        </w:rPr>
        <w:t>80</w:t>
      </w:r>
      <w:r w:rsidRPr="00674793">
        <w:rPr>
          <w:rFonts w:ascii="Arial" w:hAnsi="Arial" w:cs="Arial"/>
        </w:rPr>
        <w:t xml:space="preserve">% (Fig. 5b). </w:t>
      </w:r>
      <w:r w:rsidR="370B6CBF" w:rsidRPr="370B6CBF">
        <w:rPr>
          <w:rFonts w:ascii="Arial" w:hAnsi="Arial" w:cs="Arial"/>
        </w:rPr>
        <w:t xml:space="preserve">We were puzzled by the fact that kidney sensitivity was higher in 3 versus 2 intersecting replicates. </w:t>
      </w:r>
      <w:r w:rsidR="370B6CBF" w:rsidRPr="370B6CBF">
        <w:rPr>
          <w:rFonts w:ascii="Arial" w:hAnsi="Arial" w:cs="Arial"/>
          <w:highlight w:val="yellow"/>
        </w:rPr>
        <w:t>When evaluating the genes that were gained in the &gt; 2 intersecting replicates setting we found that..</w:t>
      </w:r>
      <w:r w:rsidR="370B6CBF" w:rsidRPr="370B6CBF">
        <w:rPr>
          <w:rFonts w:ascii="Arial" w:hAnsi="Arial" w:cs="Arial"/>
        </w:rPr>
        <w:t xml:space="preserve">. These results reveal that TUSCO can be used to evaluate the effect of replication in transcript detection accuracy and suggest that, at least for the conditions of this experiment (mouse brain profiled by PacBio cDNA sequencing and processed with FLAIR) an optimal experimental setting for transcript detection would require at least 3 replicates. </w:t>
      </w:r>
    </w:p>
    <w:p w14:paraId="39D2F958" w14:textId="0193305E" w:rsidR="370B6CBF" w:rsidRDefault="370B6CBF" w:rsidP="370B6CBF">
      <w:pPr>
        <w:spacing w:beforeAutospacing="1" w:afterAutospacing="1"/>
        <w:rPr>
          <w:rFonts w:ascii="Arial" w:hAnsi="Arial" w:cs="Arial"/>
        </w:rPr>
      </w:pPr>
    </w:p>
    <w:p w14:paraId="02987CF7" w14:textId="4DDC2F19" w:rsidR="370B6CBF" w:rsidRDefault="370B6CBF" w:rsidP="370B6CBF">
      <w:pPr>
        <w:pStyle w:val="NormalWeb"/>
        <w:jc w:val="both"/>
        <w:rPr>
          <w:rFonts w:ascii="Arial" w:eastAsiaTheme="minorEastAsia" w:hAnsi="Arial" w:cs="Arial"/>
          <w:i/>
          <w:iCs/>
          <w:sz w:val="20"/>
          <w:szCs w:val="20"/>
        </w:rPr>
      </w:pPr>
      <w:r w:rsidRPr="370B6CBF">
        <w:rPr>
          <w:rFonts w:ascii="Arial" w:eastAsiaTheme="minorEastAsia" w:hAnsi="Arial" w:cs="Arial"/>
          <w:i/>
          <w:iCs/>
          <w:sz w:val="20"/>
          <w:szCs w:val="20"/>
        </w:rPr>
        <w:t>TUSCO universal and tissue-specific sets give similar results.</w:t>
      </w:r>
    </w:p>
    <w:p w14:paraId="567A736D" w14:textId="547815A7" w:rsidR="370B6CBF" w:rsidRDefault="370B6CBF" w:rsidP="370B6CBF">
      <w:pPr>
        <w:spacing w:beforeAutospacing="1" w:afterAutospacing="1"/>
        <w:rPr>
          <w:rFonts w:ascii="Arial" w:hAnsi="Arial" w:cs="Arial"/>
        </w:rPr>
      </w:pPr>
      <w:r w:rsidRPr="370B6CBF">
        <w:rPr>
          <w:rFonts w:ascii="Arial" w:hAnsi="Arial" w:cs="Arial"/>
        </w:rPr>
        <w:t xml:space="preserve">Previous analyses were conducted with the universal set of TUSCO genes, which is rather small (|U| = 30). We built tissue-specific TUSCO sets to expand loci and tested whether conclusions persisted. Tissue sets were constructed with the same single-isoform and invariance filters, requiring only consistent expression in the focal tissue. Using the same data, the brain (60 genes) and kidney (42 genes) panels produced benchmarking figures that were minimally lower than those of the universal set across in all cases; with cosine similarity between universal and tissue results was </w:t>
      </w:r>
      <w:commentRangeStart w:id="15"/>
      <w:r w:rsidRPr="370B6CBF">
        <w:rPr>
          <w:rFonts w:ascii="Arial" w:hAnsi="Arial" w:cs="Arial"/>
        </w:rPr>
        <w:t>1 for both tissues</w:t>
      </w:r>
      <w:commentRangeEnd w:id="15"/>
      <w:r>
        <w:rPr>
          <w:rStyle w:val="CommentReference"/>
        </w:rPr>
        <w:commentReference w:id="15"/>
      </w:r>
      <w:r w:rsidRPr="370B6CBF">
        <w:rPr>
          <w:rFonts w:ascii="Arial" w:hAnsi="Arial" w:cs="Arial"/>
        </w:rPr>
        <w:t xml:space="preserve"> (Fig. 5c). We concluded that the universal TUSCO set is a suitable benchmarking option for human and mouse samples, while tissue-specific sets provide a slighter higher coverage to fine-tune results.</w:t>
      </w:r>
    </w:p>
    <w:p w14:paraId="1DD579EA" w14:textId="67E1F3F2" w:rsidR="370B6CBF" w:rsidRDefault="370B6CBF" w:rsidP="370B6CBF">
      <w:pPr>
        <w:spacing w:beforeAutospacing="1" w:afterAutospacing="1"/>
        <w:rPr>
          <w:rFonts w:ascii="Arial" w:hAnsi="Arial" w:cs="Arial"/>
        </w:rPr>
      </w:pPr>
    </w:p>
    <w:p w14:paraId="35DCACBB" w14:textId="39DB2BA3" w:rsidR="00663BE8" w:rsidRPr="00DA70A9" w:rsidRDefault="00914386" w:rsidP="006C7777">
      <w:pPr>
        <w:pStyle w:val="NormalWeb"/>
        <w:jc w:val="both"/>
        <w:rPr>
          <w:rFonts w:ascii="Arial" w:hAnsi="Arial" w:cs="Arial"/>
          <w:b/>
          <w:bCs/>
          <w:sz w:val="20"/>
          <w:szCs w:val="20"/>
        </w:rPr>
      </w:pPr>
      <w:r>
        <w:rPr>
          <w:rFonts w:ascii="Arial" w:hAnsi="Arial" w:cs="Arial"/>
          <w:b/>
          <w:bCs/>
          <w:noProof/>
          <w:sz w:val="20"/>
          <w:szCs w:val="20"/>
        </w:rPr>
        <w:lastRenderedPageBreak/>
        <w:drawing>
          <wp:inline distT="0" distB="0" distL="0" distR="0" wp14:anchorId="2825DDF7" wp14:editId="73B9E646">
            <wp:extent cx="5943600" cy="4319270"/>
            <wp:effectExtent l="0" t="0" r="0" b="0"/>
            <wp:docPr id="656787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87233" name="Picture 6567872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D1DFE19" w14:textId="150E89E1" w:rsidR="004A61C5" w:rsidRDefault="00FA4F9D" w:rsidP="004A61C5">
      <w:pPr>
        <w:pStyle w:val="NormalWeb"/>
        <w:rPr>
          <w:rFonts w:ascii="Arial" w:hAnsi="Arial" w:cs="Arial"/>
          <w:sz w:val="20"/>
          <w:szCs w:val="20"/>
        </w:rPr>
      </w:pPr>
      <w:r w:rsidRPr="00FA4F9D">
        <w:rPr>
          <w:rFonts w:ascii="Arial" w:hAnsi="Arial" w:cs="Arial"/>
          <w:b/>
          <w:bCs/>
          <w:sz w:val="20"/>
          <w:szCs w:val="20"/>
        </w:rPr>
        <w:t>Figure 5 | Replication gains and agreement between universal and tissue-specific TUSCO panels in mouse PacBio cDNA data.</w:t>
      </w:r>
      <w:r>
        <w:rPr>
          <w:rFonts w:ascii="Arial" w:hAnsi="Arial" w:cs="Arial"/>
          <w:b/>
          <w:bCs/>
          <w:sz w:val="20"/>
          <w:szCs w:val="20"/>
        </w:rPr>
        <w:t xml:space="preserve"> </w:t>
      </w:r>
      <w:r w:rsidRPr="004A61C5">
        <w:rPr>
          <w:rFonts w:ascii="Arial" w:hAnsi="Arial" w:cs="Arial"/>
          <w:b/>
          <w:bCs/>
          <w:sz w:val="20"/>
          <w:szCs w:val="20"/>
        </w:rPr>
        <w:t>a,</w:t>
      </w:r>
      <w:r w:rsidRPr="00FA4F9D">
        <w:rPr>
          <w:rFonts w:ascii="Arial" w:hAnsi="Arial" w:cs="Arial"/>
          <w:sz w:val="20"/>
          <w:szCs w:val="20"/>
        </w:rPr>
        <w:t xml:space="preserve"> </w:t>
      </w:r>
      <w:r w:rsidR="00F17694" w:rsidRPr="00FA4F9D">
        <w:rPr>
          <w:rFonts w:ascii="Arial" w:hAnsi="Arial" w:cs="Arial"/>
          <w:sz w:val="20"/>
          <w:szCs w:val="20"/>
        </w:rPr>
        <w:t>multi-sample</w:t>
      </w:r>
      <w:r w:rsidRPr="00FA4F9D">
        <w:rPr>
          <w:rFonts w:ascii="Arial" w:hAnsi="Arial" w:cs="Arial"/>
          <w:sz w:val="20"/>
          <w:szCs w:val="20"/>
        </w:rPr>
        <w:t xml:space="preserve"> (“intersection”) evaluation: five biological replicates per tissue (brain, kidney) are sequenced; SQANTI3 assigns transcript models; TUSCO metrics are computed on the transcript set common to the selected replicates.</w:t>
      </w:r>
      <w:r>
        <w:rPr>
          <w:rFonts w:ascii="Arial" w:hAnsi="Arial" w:cs="Arial"/>
          <w:b/>
          <w:bCs/>
          <w:sz w:val="20"/>
          <w:szCs w:val="20"/>
        </w:rPr>
        <w:t xml:space="preserve"> </w:t>
      </w:r>
      <w:r w:rsidRPr="004A61C5">
        <w:rPr>
          <w:rFonts w:ascii="Arial" w:hAnsi="Arial" w:cs="Arial" w:hint="eastAsia"/>
          <w:b/>
          <w:bCs/>
          <w:sz w:val="20"/>
          <w:szCs w:val="20"/>
        </w:rPr>
        <w:t>b,</w:t>
      </w:r>
      <w:r w:rsidRPr="00FA4F9D">
        <w:rPr>
          <w:rFonts w:ascii="Arial" w:hAnsi="Arial" w:cs="Arial" w:hint="eastAsia"/>
          <w:sz w:val="20"/>
          <w:szCs w:val="20"/>
        </w:rPr>
        <w:t xml:space="preserve"> Performance versus replication (1→5 replicates) for brain and kidney. Bars show Sensitivity (Sn), non-redundant Precision (</w:t>
      </w:r>
      <w:proofErr w:type="spellStart"/>
      <w:r w:rsidRPr="00FA4F9D">
        <w:rPr>
          <w:rFonts w:ascii="Arial" w:hAnsi="Arial" w:cs="Arial" w:hint="eastAsia"/>
          <w:sz w:val="20"/>
          <w:szCs w:val="20"/>
        </w:rPr>
        <w:t>nrPre</w:t>
      </w:r>
      <w:proofErr w:type="spellEnd"/>
      <w:r w:rsidRPr="00FA4F9D">
        <w:rPr>
          <w:rFonts w:ascii="Arial" w:hAnsi="Arial" w:cs="Arial" w:hint="eastAsia"/>
          <w:sz w:val="20"/>
          <w:szCs w:val="20"/>
        </w:rPr>
        <w:t>), inverse Redundancy (1/red), 1–FDR, PDR, and redundant Precision (</w:t>
      </w:r>
      <w:proofErr w:type="spellStart"/>
      <w:r w:rsidRPr="00FA4F9D">
        <w:rPr>
          <w:rFonts w:ascii="Arial" w:hAnsi="Arial" w:cs="Arial" w:hint="eastAsia"/>
          <w:sz w:val="20"/>
          <w:szCs w:val="20"/>
        </w:rPr>
        <w:t>rPre</w:t>
      </w:r>
      <w:proofErr w:type="spellEnd"/>
      <w:r w:rsidRPr="00FA4F9D">
        <w:rPr>
          <w:rFonts w:ascii="Arial" w:hAnsi="Arial" w:cs="Arial" w:hint="eastAsia"/>
          <w:sz w:val="20"/>
          <w:szCs w:val="20"/>
        </w:rPr>
        <w:t>). Red callouts mark percentage-point changes relativ</w:t>
      </w:r>
      <w:r w:rsidRPr="00FA4F9D">
        <w:rPr>
          <w:rFonts w:ascii="Arial" w:hAnsi="Arial" w:cs="Arial"/>
          <w:sz w:val="20"/>
          <w:szCs w:val="20"/>
        </w:rPr>
        <w:t>e to one replicate; note the large FDR reduction from one to two replicates, especially in kidney.</w:t>
      </w:r>
      <w:r>
        <w:rPr>
          <w:rFonts w:ascii="Arial" w:hAnsi="Arial" w:cs="Arial"/>
          <w:b/>
          <w:bCs/>
          <w:sz w:val="20"/>
          <w:szCs w:val="20"/>
        </w:rPr>
        <w:t xml:space="preserve"> </w:t>
      </w:r>
      <w:r w:rsidR="004A61C5" w:rsidRPr="004A61C5">
        <w:rPr>
          <w:rFonts w:ascii="Arial" w:hAnsi="Arial" w:cs="Arial"/>
          <w:b/>
          <w:bCs/>
          <w:sz w:val="20"/>
          <w:szCs w:val="20"/>
        </w:rPr>
        <w:t>c,</w:t>
      </w:r>
      <w:r w:rsidR="004A61C5" w:rsidRPr="004A61C5">
        <w:rPr>
          <w:rFonts w:ascii="Arial" w:hAnsi="Arial" w:cs="Arial"/>
          <w:sz w:val="20"/>
          <w:szCs w:val="20"/>
        </w:rPr>
        <w:t xml:space="preserve"> Benchmark agreement between the universal mouse set (|U| = 30) and tissue-specific panels built with the same single-isoform criteria but requiring only tissue-consistent expression (brain: 60 genes; kidney: 42 genes). Values shown in the radar plots are computed per sample and then averaged across biological replicates within each tissue and panel type</w:t>
      </w:r>
      <w:commentRangeStart w:id="16"/>
      <w:r w:rsidR="004A61C5" w:rsidRPr="004A61C5">
        <w:rPr>
          <w:rFonts w:ascii="Arial" w:hAnsi="Arial" w:cs="Arial"/>
          <w:sz w:val="20"/>
          <w:szCs w:val="20"/>
        </w:rPr>
        <w:t>. Radar plots overlap exactly (cosine similarity = 1)</w:t>
      </w:r>
      <w:commentRangeEnd w:id="16"/>
      <w:r>
        <w:rPr>
          <w:rStyle w:val="CommentReference"/>
        </w:rPr>
        <w:commentReference w:id="16"/>
      </w:r>
      <w:r w:rsidR="004A61C5" w:rsidRPr="004A61C5">
        <w:rPr>
          <w:rFonts w:ascii="Arial" w:hAnsi="Arial" w:cs="Arial"/>
          <w:sz w:val="20"/>
          <w:szCs w:val="20"/>
        </w:rPr>
        <w:t xml:space="preserve"> across Sn, </w:t>
      </w:r>
      <w:proofErr w:type="spellStart"/>
      <w:r w:rsidR="004A61C5" w:rsidRPr="004A61C5">
        <w:rPr>
          <w:rFonts w:ascii="Arial" w:hAnsi="Arial" w:cs="Arial"/>
          <w:sz w:val="20"/>
          <w:szCs w:val="20"/>
        </w:rPr>
        <w:t>nrPre</w:t>
      </w:r>
      <w:proofErr w:type="spellEnd"/>
      <w:r w:rsidR="004A61C5" w:rsidRPr="004A61C5">
        <w:rPr>
          <w:rFonts w:ascii="Arial" w:hAnsi="Arial" w:cs="Arial"/>
          <w:sz w:val="20"/>
          <w:szCs w:val="20"/>
        </w:rPr>
        <w:t>, 1/FDR, PDR, and redundancy, indicating that tissue panels expand coverage without changing conclusions.</w:t>
      </w:r>
    </w:p>
    <w:p w14:paraId="40BF95AF" w14:textId="3AE41A8A" w:rsidR="370B6CBF" w:rsidRDefault="370B6CBF" w:rsidP="370B6CBF">
      <w:pPr>
        <w:pStyle w:val="NormalWeb"/>
        <w:rPr>
          <w:rFonts w:ascii="Arial" w:hAnsi="Arial" w:cs="Arial"/>
          <w:sz w:val="20"/>
          <w:szCs w:val="20"/>
        </w:rPr>
      </w:pPr>
    </w:p>
    <w:p w14:paraId="0E93F6E6" w14:textId="6560C978" w:rsidR="00E411A3" w:rsidRPr="00DA70A9" w:rsidRDefault="79DAEAB0" w:rsidP="004A61C5">
      <w:pPr>
        <w:pStyle w:val="NormalWeb"/>
        <w:rPr>
          <w:rFonts w:ascii="Arial" w:hAnsi="Arial" w:cs="Arial"/>
        </w:rPr>
      </w:pPr>
      <w:commentRangeStart w:id="17"/>
      <w:commentRangeStart w:id="18"/>
      <w:r w:rsidRPr="00DA70A9">
        <w:rPr>
          <w:rFonts w:ascii="Arial" w:hAnsi="Arial" w:cs="Arial"/>
          <w:b/>
          <w:bCs/>
          <w:sz w:val="20"/>
          <w:szCs w:val="20"/>
        </w:rPr>
        <w:t xml:space="preserve">Discussion </w:t>
      </w:r>
      <w:commentRangeEnd w:id="17"/>
      <w:r w:rsidR="636D2CF6" w:rsidRPr="00DA70A9">
        <w:rPr>
          <w:rStyle w:val="CommentReference"/>
          <w:rFonts w:ascii="Arial" w:hAnsi="Arial" w:cs="Arial"/>
          <w:sz w:val="24"/>
          <w:szCs w:val="24"/>
        </w:rPr>
        <w:commentReference w:id="17"/>
      </w:r>
      <w:commentRangeEnd w:id="18"/>
      <w:r w:rsidR="636D2CF6" w:rsidRPr="00DA70A9">
        <w:rPr>
          <w:rStyle w:val="CommentReference"/>
          <w:rFonts w:ascii="Arial" w:hAnsi="Arial" w:cs="Arial"/>
          <w:sz w:val="24"/>
          <w:szCs w:val="24"/>
        </w:rPr>
        <w:commentReference w:id="18"/>
      </w:r>
    </w:p>
    <w:p w14:paraId="6458B759" w14:textId="1F60A1CC" w:rsidR="00F80ABD" w:rsidRPr="00DA70A9" w:rsidRDefault="79DAEAB0" w:rsidP="57B667A3">
      <w:pPr>
        <w:pStyle w:val="NormalWeb"/>
        <w:spacing w:before="240" w:after="240" w:line="276" w:lineRule="auto"/>
        <w:jc w:val="both"/>
        <w:rPr>
          <w:rFonts w:ascii="Arial" w:hAnsi="Arial" w:cs="Arial"/>
          <w:sz w:val="20"/>
          <w:szCs w:val="20"/>
        </w:rPr>
      </w:pPr>
      <w:r w:rsidRPr="00DA70A9">
        <w:rPr>
          <w:rFonts w:ascii="Arial" w:eastAsia="Arial" w:hAnsi="Arial" w:cs="Arial"/>
          <w:sz w:val="20"/>
          <w:szCs w:val="20"/>
        </w:rPr>
        <w:t xml:space="preserve">The reconstruction of full-length transcriptomes using long-read sequencing technologies has revolutionized our understanding of transcript diversity. Yet, this advancement brings with it a pressing need for accurate and realistic benchmarking strategies. Our study demonstrates that synthetic spike-in controls, while useful, present significant limitations when used as stand-alone benchmarks. Tools like SIRVs and Sequins offer a controlled environment to assess transcript identification, but they fail to replicate key biological and technical variables that are intrinsic to real samples—such as RNA degradation, extraction </w:t>
      </w:r>
      <w:r w:rsidRPr="00DA70A9">
        <w:rPr>
          <w:rFonts w:ascii="Arial" w:eastAsia="Arial" w:hAnsi="Arial" w:cs="Arial"/>
          <w:sz w:val="20"/>
          <w:szCs w:val="20"/>
        </w:rPr>
        <w:lastRenderedPageBreak/>
        <w:t>bias, and natural variability across tissues. These shortcomings may result in artificially inflated performance estimates and obscure technology-specific limitations that are critical in challenging experimental contexts, such as clinical or disease-focused transcriptomic studies.</w:t>
      </w:r>
    </w:p>
    <w:p w14:paraId="4AAC64C4" w14:textId="455A6822" w:rsidR="00F80ABD" w:rsidRPr="00DA70A9" w:rsidRDefault="03510BD6" w:rsidP="006C7777">
      <w:pPr>
        <w:spacing w:before="240" w:after="240"/>
        <w:rPr>
          <w:rFonts w:ascii="Arial" w:eastAsia="Arial" w:hAnsi="Arial" w:cs="Arial"/>
        </w:rPr>
      </w:pPr>
      <w:r w:rsidRPr="00DA70A9">
        <w:rPr>
          <w:rFonts w:ascii="Arial" w:eastAsia="Arial" w:hAnsi="Arial" w:cs="Arial"/>
        </w:rPr>
        <w:t xml:space="preserve">To address these gaps, we developed </w:t>
      </w:r>
      <w:r w:rsidRPr="00C51BF2">
        <w:rPr>
          <w:rFonts w:ascii="Arial" w:eastAsia="Arial" w:hAnsi="Arial" w:cs="Arial"/>
        </w:rPr>
        <w:t>TUSCO</w:t>
      </w:r>
      <w:r w:rsidRPr="00DA70A9">
        <w:rPr>
          <w:rFonts w:ascii="Arial" w:eastAsia="Arial" w:hAnsi="Arial" w:cs="Arial"/>
        </w:rPr>
        <w:t>, a benchmarking framework built around a highly curated set of single-isoform endogenous genes. These genes are robustly and consistently expressed across tissues, offering a more biologically relevant and nuanced ground truth to evaluate transcriptome reconstruction performance. TUSCO surpasses synthetic benchmarks by reflecting the same degradation, extraction biases, and length distribution characteristics of native RNAs, particularly in the medium-to-long transcript length range, which is underrepresented in many synthetic datasets. This results in a more representative assessment of sequencing performance.</w:t>
      </w:r>
    </w:p>
    <w:p w14:paraId="07EF1206" w14:textId="7BAD93AF" w:rsidR="00F80ABD" w:rsidRPr="00DA70A9" w:rsidRDefault="03510BD6" w:rsidP="006C7777">
      <w:pPr>
        <w:spacing w:before="240" w:after="240"/>
        <w:rPr>
          <w:rFonts w:ascii="Arial" w:eastAsia="Arial" w:hAnsi="Arial" w:cs="Arial"/>
        </w:rPr>
      </w:pPr>
      <w:r w:rsidRPr="00DA70A9">
        <w:rPr>
          <w:rFonts w:ascii="Arial" w:eastAsia="Arial" w:hAnsi="Arial" w:cs="Arial"/>
        </w:rPr>
        <w:t>Moreover, because TUSCO genes are endogenous and tissue-resolved, they enable benchmarking across a wide variety of experimental settings and sample qualities. This versatility makes TUSCO particularly valuable for several practical applications. For example, we show that the framework can inform trade-offs between sequencing depth and number of replicates, a common dilemma in experimental design. TUSCO also enables structured evaluation of novel transcript detection. While the current implementation focuses on novel splice junctions, the method can be easily adapted to assess alternative transcription start sites (TSS), transcription termination sites (TTS), or transcript disambiguation by modifying the underlying GTF annotations. We demonstrated the utility of TUSCO in both human and mouse samples, with gene sets adaptable to tissue-specific or cross-tissue applications. This flexibility ensures that researchers working on tissues not directly included in the resource can still leverage the TUSCO framework. If adopted widely by the community, the approach could be extended to additional species where sufficient transcriptomic data exist to define a reliable set of single-isoform genes.</w:t>
      </w:r>
    </w:p>
    <w:p w14:paraId="41BF7FEB" w14:textId="270AE85F" w:rsidR="00F80ABD" w:rsidRPr="00DA70A9" w:rsidRDefault="03510BD6" w:rsidP="006C7777">
      <w:pPr>
        <w:spacing w:before="240" w:after="240"/>
        <w:rPr>
          <w:rFonts w:ascii="Arial" w:eastAsia="Arial" w:hAnsi="Arial" w:cs="Arial"/>
        </w:rPr>
      </w:pPr>
      <w:r w:rsidRPr="00DA70A9">
        <w:rPr>
          <w:rFonts w:ascii="Arial" w:eastAsia="Arial" w:hAnsi="Arial" w:cs="Arial"/>
        </w:rPr>
        <w:t>Despite its advantages, TUSCO also has limitations. It is inherently restricted to single-isoform loci and thus cannot evaluate transcript reconstruction accuracy within highly complex multi-isoform genes—a domain where synthetic spike-ins, with alternatively spliced genes, remain useful. However, our comparison with SIRVs shows that true positive (TP) rates were similar across both approaches, suggesting similar capacity for assessing the identification of the right junction chain. However, synthetic controls failed to capture sample-specific variation in pre-sequencing biases, as reflected by greater discrepancies in precision and false negative (FN) rates, which are better illuminated by the TUSCO gene-set. As sequencing error rates continue to drop, biases introduced during RNA extraction and library preparation are likely to become the dominant limiting factors. In this context, the endogenous nature of TUSCO genes offers a crucial advantage.</w:t>
      </w:r>
    </w:p>
    <w:p w14:paraId="5696D332" w14:textId="00C9734F" w:rsidR="00F80ABD" w:rsidRPr="00DA70A9" w:rsidRDefault="03510BD6" w:rsidP="006C7777">
      <w:pPr>
        <w:spacing w:before="240" w:after="240"/>
        <w:rPr>
          <w:rFonts w:ascii="Arial" w:eastAsia="Arial" w:hAnsi="Arial" w:cs="Arial"/>
        </w:rPr>
      </w:pPr>
      <w:r w:rsidRPr="00DA70A9">
        <w:rPr>
          <w:rFonts w:ascii="Arial" w:eastAsia="Arial" w:hAnsi="Arial" w:cs="Arial"/>
        </w:rPr>
        <w:t xml:space="preserve">Another important consideration is the potential future discovery of alternative isoforms in currently annotated single-isoform genes. While the current TUSCO set is based on extensive sequencing evidence, continual updates and cross-referencing with evolving </w:t>
      </w:r>
      <w:r w:rsidR="00CF4699">
        <w:rPr>
          <w:rFonts w:ascii="Arial" w:eastAsia="Arial" w:hAnsi="Arial" w:cs="Arial"/>
        </w:rPr>
        <w:t>GENCODE</w:t>
      </w:r>
      <w:r w:rsidRPr="00DA70A9">
        <w:rPr>
          <w:rFonts w:ascii="Arial" w:eastAsia="Arial" w:hAnsi="Arial" w:cs="Arial"/>
        </w:rPr>
        <w:t xml:space="preserve"> annotations will be necessary to maintain its accuracy. Additionally, the framework has not yet been applied to conditions involving transcriptome divergence: miss-processed sample-specific transcripts that may accumulate, for example, in situations of cellular stress</w:t>
      </w:r>
      <w:r w:rsidR="00B4639C">
        <w:rPr>
          <w:rFonts w:ascii="Arial" w:eastAsia="Arial" w:hAnsi="Arial" w:cs="Arial"/>
        </w:rPr>
        <w:fldChar w:fldCharType="begin"/>
      </w:r>
      <w:r w:rsidR="00F211BD">
        <w:rPr>
          <w:rFonts w:ascii="Arial" w:eastAsia="Arial" w:hAnsi="Arial" w:cs="Arial"/>
        </w:rPr>
        <w:instrText xml:space="preserve"> ADDIN ZOTERO_ITEM CSL_CITATION {"citationID":"JEThrf0b","properties":{"formattedCitation":"\\super 48\\nosupersub{}","plainCitation":"48","noteIndex":0},"citationItems":[{"id":214,"uris":["http://zotero.org/users/local/fy8HeEeu/items/WKU8AG74"],"itemData":{"id":214,"type":"article-journal","abstract":"Long-read sequencing (LRS) technologies have revolutionized transcriptomic research by enabling the comprehensive sequencing of full-length transcripts. Using these technologies, researchers have reported tens of thousands of novel transcripts, even in well-annotated genomes, while developing new algorithms and experimental approaches to handle the noisy data. The Long-read RNA-seq Genome Annotation Assessment Project community effort benchmarked LRS methods in transcriptomics and validated many novel, lowly expressed, often times sample-specific transcripts identified by long reads. These molecules represent deviations of the major transcriptional program that were overlooked by short-read sequencing methods but are now captured by the full-length, single-molecule approach. This Perspective discusses the challenges and opportunities associated with LRS’ capacity to unravel this fraction of the transcriptome, in terms of both transcriptome biology and genome annotation. For transcriptome biology, we need to develop novel experimental and computational methods to effectively differentiate technology errors from rare but real molecules. For genome annotation, we must agree on the strategy to capture molecular variability while still defining reference annotations that are useful for the genomics community.","container-title":"Genome Research","DOI":"10.1101/gr.279865.124","ISSN":"1088-9051, 1549-5469","issue":"4","journalAbbreviation":"Genome Res.","language":"en","note":"Company: Cold Spring Harbor Laboratory Press\nDistributor: Cold Spring Harbor Laboratory Press\nInstitution: Cold Spring Harbor Laboratory Press\nLabel: Cold Spring Harbor Laboratory Press\npublisher: Cold Spring Harbor Lab\nPMID: 40032585","page":"583-592","source":"genome.cshlp.org","title":"Notable challenges posed by long-read sequencing for the study of transcriptional diversity and genome annotation","volume":"35","author":[{"family":"Monzó","given":"Carolina"},{"family":"Frankish","given":"Adam"},{"family":"Conesa","given":"Ana"}],"issued":{"date-parts":[["2025",4,1]]}}}],"schema":"https://github.com/citation-style-language/schema/raw/master/csl-citation.json"} </w:instrText>
      </w:r>
      <w:r w:rsidR="00B4639C">
        <w:rPr>
          <w:rFonts w:ascii="Arial" w:eastAsia="Arial" w:hAnsi="Arial" w:cs="Arial"/>
        </w:rPr>
        <w:fldChar w:fldCharType="separate"/>
      </w:r>
      <w:r w:rsidR="00F211BD" w:rsidRPr="370B6CBF">
        <w:rPr>
          <w:rFonts w:ascii="Arial" w:hAnsi="Arial" w:cs="Arial"/>
          <w:vertAlign w:val="superscript"/>
        </w:rPr>
        <w:t>48</w:t>
      </w:r>
      <w:r w:rsidR="00B4639C">
        <w:rPr>
          <w:rFonts w:ascii="Arial" w:eastAsia="Arial" w:hAnsi="Arial" w:cs="Arial"/>
        </w:rPr>
        <w:fldChar w:fldCharType="end"/>
      </w:r>
      <w:r w:rsidRPr="00DA70A9">
        <w:rPr>
          <w:rFonts w:ascii="Arial" w:eastAsia="Arial" w:hAnsi="Arial" w:cs="Arial"/>
        </w:rPr>
        <w:t>. Although TUSCO has not been specifically applied to stress-related conditions, we propose it may be a useful tool for detecting transcriptome alterations under such scenarios, as rising false positive rates could reflect increased RNA processing errors associated with cellular stress.</w:t>
      </w:r>
    </w:p>
    <w:p w14:paraId="2AD12C0A" w14:textId="48D966E8" w:rsidR="370B6CBF" w:rsidRDefault="370B6CBF" w:rsidP="370B6CBF">
      <w:pPr>
        <w:spacing w:before="240" w:after="240"/>
        <w:rPr>
          <w:rFonts w:ascii="Arial" w:eastAsia="Arial" w:hAnsi="Arial" w:cs="Arial"/>
        </w:rPr>
      </w:pPr>
    </w:p>
    <w:p w14:paraId="25AA0619" w14:textId="702D2B08" w:rsidR="00223D1E" w:rsidRPr="00DA70A9" w:rsidRDefault="03510BD6" w:rsidP="006C7777">
      <w:pPr>
        <w:spacing w:before="240" w:after="240"/>
        <w:rPr>
          <w:rFonts w:ascii="Arial" w:hAnsi="Arial" w:cs="Arial"/>
        </w:rPr>
      </w:pPr>
      <w:r w:rsidRPr="00DA70A9">
        <w:rPr>
          <w:rFonts w:ascii="Arial" w:eastAsia="Arial" w:hAnsi="Arial" w:cs="Arial"/>
        </w:rPr>
        <w:t xml:space="preserve">In summary, TUSCO provides a powerful, biologically grounded framework to evaluate the performance of long-read transcriptomics across real-world conditions. By bridging the gap between synthetic controls and </w:t>
      </w:r>
      <w:r w:rsidRPr="00DA70A9">
        <w:rPr>
          <w:rFonts w:ascii="Arial" w:eastAsia="Arial" w:hAnsi="Arial" w:cs="Arial"/>
        </w:rPr>
        <w:lastRenderedPageBreak/>
        <w:t>complex biological samples, it offers a more realistic benchmark to guide method development, protocol optimization, and experimental design.</w:t>
      </w:r>
    </w:p>
    <w:p w14:paraId="3A452315" w14:textId="12012359" w:rsidR="001023DE" w:rsidRPr="00DA70A9" w:rsidRDefault="370B6CBF" w:rsidP="006C7777">
      <w:pPr>
        <w:pStyle w:val="NormalWeb"/>
        <w:jc w:val="both"/>
        <w:rPr>
          <w:rFonts w:ascii="Arial" w:hAnsi="Arial" w:cs="Arial"/>
          <w:b/>
          <w:bCs/>
          <w:color w:val="000000" w:themeColor="text1"/>
          <w:sz w:val="20"/>
          <w:szCs w:val="20"/>
        </w:rPr>
      </w:pPr>
      <w:r w:rsidRPr="370B6CBF">
        <w:rPr>
          <w:rFonts w:ascii="Arial" w:hAnsi="Arial" w:cs="Arial"/>
          <w:b/>
          <w:bCs/>
          <w:color w:val="000000" w:themeColor="text1"/>
          <w:sz w:val="20"/>
          <w:szCs w:val="20"/>
        </w:rPr>
        <w:t>Methods</w:t>
      </w:r>
    </w:p>
    <w:p w14:paraId="79CB8522" w14:textId="2F4E09C9" w:rsidR="370B6CBF" w:rsidRDefault="370B6CBF" w:rsidP="370B6CBF">
      <w:pPr>
        <w:pStyle w:val="NormalWeb"/>
        <w:jc w:val="both"/>
        <w:rPr>
          <w:rFonts w:ascii="Arial" w:hAnsi="Arial" w:cs="Arial"/>
          <w:b/>
          <w:bCs/>
          <w:color w:val="000000" w:themeColor="text1"/>
          <w:sz w:val="20"/>
          <w:szCs w:val="20"/>
        </w:rPr>
      </w:pPr>
    </w:p>
    <w:p w14:paraId="16B0C5DE" w14:textId="7DE36344" w:rsidR="002E0388" w:rsidRPr="00DA70A9" w:rsidRDefault="002E0388" w:rsidP="006C7777">
      <w:pPr>
        <w:pStyle w:val="NormalWeb"/>
        <w:jc w:val="both"/>
        <w:rPr>
          <w:rFonts w:ascii="Arial" w:hAnsi="Arial" w:cs="Arial"/>
          <w:b/>
          <w:bCs/>
          <w:color w:val="000000" w:themeColor="text1"/>
          <w:sz w:val="20"/>
          <w:szCs w:val="20"/>
        </w:rPr>
      </w:pPr>
      <w:r w:rsidRPr="00DA70A9">
        <w:rPr>
          <w:rFonts w:ascii="Arial" w:hAnsi="Arial" w:cs="Arial"/>
          <w:b/>
          <w:bCs/>
          <w:color w:val="000000" w:themeColor="text1"/>
          <w:sz w:val="20"/>
          <w:szCs w:val="20"/>
        </w:rPr>
        <w:t>TUSCO selection pipeline</w:t>
      </w:r>
    </w:p>
    <w:p w14:paraId="433B9799" w14:textId="3D66DB5B" w:rsidR="001023DE" w:rsidRPr="00DA70A9" w:rsidRDefault="001023DE" w:rsidP="006C7777">
      <w:pPr>
        <w:spacing w:before="240" w:after="240"/>
        <w:rPr>
          <w:rFonts w:ascii="Arial" w:eastAsia="Arial" w:hAnsi="Arial" w:cs="Arial"/>
        </w:rPr>
      </w:pPr>
      <w:r w:rsidRPr="00DA70A9">
        <w:rPr>
          <w:rFonts w:ascii="Arial" w:eastAsia="Arial" w:hAnsi="Arial" w:cs="Arial"/>
        </w:rPr>
        <w:t>TUSCO was constructed with a single, reproducible pipeline that integrates multi</w:t>
      </w:r>
      <w:r w:rsidRPr="00DA70A9">
        <w:rPr>
          <w:rFonts w:ascii="Cambria Math" w:eastAsia="Arial" w:hAnsi="Cambria Math" w:cs="Cambria Math"/>
        </w:rPr>
        <w:t>‑</w:t>
      </w:r>
      <w:r w:rsidRPr="00DA70A9">
        <w:rPr>
          <w:rFonts w:ascii="Arial" w:eastAsia="Arial" w:hAnsi="Arial" w:cs="Arial"/>
        </w:rPr>
        <w:t xml:space="preserve">source annotations, population splicing and TSS evidence, and broad expression compendia, and then enforces strict “no evidence for alternative isoforms” criteria. For human, we retrieved and harmonized GENCODE v48, </w:t>
      </w:r>
      <w:proofErr w:type="spellStart"/>
      <w:r w:rsidRPr="00DA70A9">
        <w:rPr>
          <w:rFonts w:ascii="Arial" w:eastAsia="Arial" w:hAnsi="Arial" w:cs="Arial"/>
        </w:rPr>
        <w:t>RefSeq</w:t>
      </w:r>
      <w:proofErr w:type="spellEnd"/>
      <w:r w:rsidRPr="00DA70A9">
        <w:rPr>
          <w:rFonts w:ascii="Arial" w:eastAsia="Arial" w:hAnsi="Arial" w:cs="Arial"/>
        </w:rPr>
        <w:t xml:space="preserve"> GRCh38.p14, and MANE v1.4 annotations together with an </w:t>
      </w:r>
      <w:proofErr w:type="spellStart"/>
      <w:r w:rsidRPr="00DA70A9">
        <w:rPr>
          <w:rFonts w:ascii="Arial" w:eastAsia="Arial" w:hAnsi="Arial" w:cs="Arial"/>
        </w:rPr>
        <w:t>Ensembl</w:t>
      </w:r>
      <w:proofErr w:type="spellEnd"/>
      <w:r w:rsidRPr="00DA70A9">
        <w:rPr>
          <w:rFonts w:ascii="Arial" w:eastAsia="Arial" w:hAnsi="Arial" w:cs="Arial"/>
        </w:rPr>
        <w:t xml:space="preserve"> </w:t>
      </w:r>
      <w:proofErr w:type="spellStart"/>
      <w:r w:rsidRPr="00DA70A9">
        <w:rPr>
          <w:rFonts w:ascii="Arial" w:eastAsia="Arial" w:hAnsi="Arial" w:cs="Arial"/>
        </w:rPr>
        <w:t>BioMart</w:t>
      </w:r>
      <w:proofErr w:type="spellEnd"/>
      <w:r w:rsidRPr="00DA70A9">
        <w:rPr>
          <w:rFonts w:ascii="Arial" w:eastAsia="Arial" w:hAnsi="Arial" w:cs="Arial"/>
        </w:rPr>
        <w:t xml:space="preserve"> </w:t>
      </w:r>
      <w:proofErr w:type="spellStart"/>
      <w:r w:rsidRPr="00DA70A9">
        <w:rPr>
          <w:rFonts w:ascii="Arial" w:eastAsia="Arial" w:hAnsi="Arial" w:cs="Arial"/>
        </w:rPr>
        <w:t>Ensembl↔RefSeq</w:t>
      </w:r>
      <w:proofErr w:type="spellEnd"/>
      <w:r w:rsidRPr="00DA70A9">
        <w:rPr>
          <w:rFonts w:ascii="Arial" w:eastAsia="Arial" w:hAnsi="Arial" w:cs="Arial"/>
        </w:rPr>
        <w:t xml:space="preserve">/NCBI mapping; for mouse, we used GENCODE vM37 and </w:t>
      </w:r>
      <w:proofErr w:type="spellStart"/>
      <w:r w:rsidRPr="00DA70A9">
        <w:rPr>
          <w:rFonts w:ascii="Arial" w:eastAsia="Arial" w:hAnsi="Arial" w:cs="Arial"/>
        </w:rPr>
        <w:t>RefSeq</w:t>
      </w:r>
      <w:proofErr w:type="spellEnd"/>
      <w:r w:rsidRPr="00DA70A9">
        <w:rPr>
          <w:rFonts w:ascii="Arial" w:eastAsia="Arial" w:hAnsi="Arial" w:cs="Arial"/>
        </w:rPr>
        <w:t xml:space="preserve"> GRCm39 with the corresponding </w:t>
      </w:r>
      <w:proofErr w:type="spellStart"/>
      <w:r w:rsidRPr="00DA70A9">
        <w:rPr>
          <w:rFonts w:ascii="Arial" w:eastAsia="Arial" w:hAnsi="Arial" w:cs="Arial"/>
        </w:rPr>
        <w:t>BioMart</w:t>
      </w:r>
      <w:proofErr w:type="spellEnd"/>
      <w:r w:rsidRPr="00DA70A9">
        <w:rPr>
          <w:rFonts w:ascii="Arial" w:eastAsia="Arial" w:hAnsi="Arial" w:cs="Arial"/>
        </w:rPr>
        <w:t xml:space="preserve"> mapping (GENCODE, </w:t>
      </w:r>
      <w:proofErr w:type="spellStart"/>
      <w:r w:rsidRPr="00DA70A9">
        <w:rPr>
          <w:rFonts w:ascii="Arial" w:eastAsia="Arial" w:hAnsi="Arial" w:cs="Arial"/>
        </w:rPr>
        <w:t>RefSeq</w:t>
      </w:r>
      <w:proofErr w:type="spellEnd"/>
      <w:r w:rsidRPr="00DA70A9">
        <w:rPr>
          <w:rFonts w:ascii="Arial" w:eastAsia="Arial" w:hAnsi="Arial" w:cs="Arial"/>
        </w:rPr>
        <w:t xml:space="preserve">/NCBI, MANE, </w:t>
      </w:r>
      <w:proofErr w:type="spellStart"/>
      <w:r w:rsidRPr="00DA70A9">
        <w:rPr>
          <w:rFonts w:ascii="Arial" w:eastAsia="Arial" w:hAnsi="Arial" w:cs="Arial"/>
        </w:rPr>
        <w:t>Ensembl</w:t>
      </w:r>
      <w:proofErr w:type="spellEnd"/>
      <w:r w:rsidRPr="00DA70A9">
        <w:rPr>
          <w:rFonts w:ascii="Arial" w:eastAsia="Arial" w:hAnsi="Arial" w:cs="Arial"/>
        </w:rPr>
        <w:t xml:space="preserve"> </w:t>
      </w:r>
      <w:proofErr w:type="spellStart"/>
      <w:r w:rsidRPr="00DA70A9">
        <w:rPr>
          <w:rFonts w:ascii="Arial" w:eastAsia="Arial" w:hAnsi="Arial" w:cs="Arial"/>
        </w:rPr>
        <w:t>BioMart</w:t>
      </w:r>
      <w:proofErr w:type="spellEnd"/>
      <w:r w:rsidRPr="00DA70A9">
        <w:rPr>
          <w:rFonts w:ascii="Arial" w:eastAsia="Arial" w:hAnsi="Arial" w:cs="Arial"/>
        </w:rPr>
        <w:t>). After normalizing chromosome labels where needed, we identified genes that are single</w:t>
      </w:r>
      <w:r w:rsidRPr="00DA70A9">
        <w:rPr>
          <w:rFonts w:ascii="Cambria Math" w:eastAsia="Arial" w:hAnsi="Cambria Math" w:cs="Cambria Math"/>
        </w:rPr>
        <w:t>‑</w:t>
      </w:r>
      <w:r w:rsidRPr="00DA70A9">
        <w:rPr>
          <w:rFonts w:ascii="Arial" w:eastAsia="Arial" w:hAnsi="Arial" w:cs="Arial"/>
        </w:rPr>
        <w:t>isoform in each source and required exact identity of exon–intron structure and strand across all GTFs; only those cross</w:t>
      </w:r>
      <w:r w:rsidRPr="00DA70A9">
        <w:rPr>
          <w:rFonts w:ascii="Cambria Math" w:eastAsia="Arial" w:hAnsi="Cambria Math" w:cs="Cambria Math"/>
        </w:rPr>
        <w:t>‑</w:t>
      </w:r>
      <w:r w:rsidRPr="00DA70A9">
        <w:rPr>
          <w:rFonts w:ascii="Arial" w:eastAsia="Arial" w:hAnsi="Arial" w:cs="Arial"/>
        </w:rPr>
        <w:t>annotation matches were retained and propagated with synchronized mapping subsets.</w:t>
      </w:r>
    </w:p>
    <w:p w14:paraId="396929B5" w14:textId="57E4D132" w:rsidR="001023DE" w:rsidRPr="00DA70A9" w:rsidRDefault="001023DE" w:rsidP="006C7777">
      <w:pPr>
        <w:spacing w:before="240" w:after="240"/>
        <w:rPr>
          <w:rFonts w:ascii="Arial" w:eastAsia="Arial" w:hAnsi="Arial" w:cs="Arial"/>
        </w:rPr>
      </w:pPr>
      <w:r w:rsidRPr="00DA70A9">
        <w:rPr>
          <w:rFonts w:ascii="Arial" w:eastAsia="Arial" w:hAnsi="Arial" w:cs="Arial"/>
        </w:rPr>
        <w:t>We next screened for population</w:t>
      </w:r>
      <w:r w:rsidRPr="00DA70A9">
        <w:rPr>
          <w:rFonts w:ascii="Cambria Math" w:eastAsia="Arial" w:hAnsi="Cambria Math" w:cs="Cambria Math"/>
        </w:rPr>
        <w:t>‑</w:t>
      </w:r>
      <w:r w:rsidRPr="00DA70A9">
        <w:rPr>
          <w:rFonts w:ascii="Arial" w:eastAsia="Arial" w:hAnsi="Arial" w:cs="Arial"/>
        </w:rPr>
        <w:t>level alternative splicing and TSS inconsistencies. Splice evidence was derived from recount3 junction BEDs (canonical GT:AG sites for human; canonical</w:t>
      </w:r>
      <w:r w:rsidRPr="00DA70A9">
        <w:rPr>
          <w:rFonts w:ascii="Cambria Math" w:eastAsia="Arial" w:hAnsi="Cambria Math" w:cs="Cambria Math"/>
        </w:rPr>
        <w:t>‑</w:t>
      </w:r>
      <w:r w:rsidRPr="00DA70A9">
        <w:rPr>
          <w:rFonts w:ascii="Arial" w:eastAsia="Arial" w:hAnsi="Arial" w:cs="Arial"/>
        </w:rPr>
        <w:t>site filtering bypassed for mouse). For each multi</w:t>
      </w:r>
      <w:r w:rsidRPr="00DA70A9">
        <w:rPr>
          <w:rFonts w:ascii="Cambria Math" w:eastAsia="Arial" w:hAnsi="Cambria Math" w:cs="Cambria Math"/>
        </w:rPr>
        <w:t>‑</w:t>
      </w:r>
      <w:r w:rsidRPr="00DA70A9">
        <w:rPr>
          <w:rFonts w:ascii="Arial" w:eastAsia="Arial" w:hAnsi="Arial" w:cs="Arial"/>
        </w:rPr>
        <w:t>exon gene, we computed the mean coverage of annotated junctions, μ, and declared a novel junction as supporting an alternative isoform if it was fully intragenic, strand</w:t>
      </w:r>
      <w:r w:rsidRPr="00DA70A9">
        <w:rPr>
          <w:rFonts w:ascii="Cambria Math" w:eastAsia="Arial" w:hAnsi="Cambria Math" w:cs="Cambria Math"/>
        </w:rPr>
        <w:t>‑</w:t>
      </w:r>
      <w:r w:rsidRPr="00DA70A9">
        <w:rPr>
          <w:rFonts w:ascii="Arial" w:eastAsia="Arial" w:hAnsi="Arial" w:cs="Arial"/>
        </w:rPr>
        <w:t xml:space="preserve">consistent, and its coverage exceeded T = 0.03 × μ, with a minimum absolute cutoff of one supporting read; novel junctions shorter than 80 bp were ignored. TSS evidence was assessed with </w:t>
      </w:r>
      <w:proofErr w:type="spellStart"/>
      <w:r w:rsidRPr="00DA70A9">
        <w:rPr>
          <w:rFonts w:ascii="Arial" w:eastAsia="Arial" w:hAnsi="Arial" w:cs="Arial"/>
        </w:rPr>
        <w:t>refTSS</w:t>
      </w:r>
      <w:proofErr w:type="spellEnd"/>
      <w:r w:rsidRPr="00DA70A9">
        <w:rPr>
          <w:rFonts w:ascii="Arial" w:eastAsia="Arial" w:hAnsi="Arial" w:cs="Arial"/>
        </w:rPr>
        <w:t xml:space="preserve"> v4.1. In human, we required single</w:t>
      </w:r>
      <w:r w:rsidRPr="00DA70A9">
        <w:rPr>
          <w:rFonts w:ascii="Cambria Math" w:eastAsia="Arial" w:hAnsi="Cambria Math" w:cs="Cambria Math"/>
        </w:rPr>
        <w:t>‑</w:t>
      </w:r>
      <w:r w:rsidRPr="00DA70A9">
        <w:rPr>
          <w:rFonts w:ascii="Arial" w:eastAsia="Arial" w:hAnsi="Arial" w:cs="Arial"/>
        </w:rPr>
        <w:t>exon loci to pass both an exon</w:t>
      </w:r>
      <w:r w:rsidRPr="00DA70A9">
        <w:rPr>
          <w:rFonts w:ascii="Cambria Math" w:eastAsia="Arial" w:hAnsi="Cambria Math" w:cs="Cambria Math"/>
        </w:rPr>
        <w:t>‑</w:t>
      </w:r>
      <w:r w:rsidRPr="00DA70A9">
        <w:rPr>
          <w:rFonts w:ascii="Arial" w:eastAsia="Arial" w:hAnsi="Arial" w:cs="Arial"/>
        </w:rPr>
        <w:t xml:space="preserve">overlap check (exactly one </w:t>
      </w:r>
      <w:proofErr w:type="spellStart"/>
      <w:r w:rsidRPr="00DA70A9">
        <w:rPr>
          <w:rFonts w:ascii="Arial" w:eastAsia="Arial" w:hAnsi="Arial" w:cs="Arial"/>
        </w:rPr>
        <w:t>refTSS</w:t>
      </w:r>
      <w:proofErr w:type="spellEnd"/>
      <w:r w:rsidRPr="00DA70A9">
        <w:rPr>
          <w:rFonts w:ascii="Arial" w:eastAsia="Arial" w:hAnsi="Arial" w:cs="Arial"/>
        </w:rPr>
        <w:t xml:space="preserve"> interval must overlap the TSS exon and contain the transcript’s TSS coordinate) and a CAGE window check centered at the transcript TSS that removed loci with more than one peak in a ±300 bp window; multi</w:t>
      </w:r>
      <w:r w:rsidRPr="00DA70A9">
        <w:rPr>
          <w:rFonts w:ascii="Cambria Math" w:eastAsia="Arial" w:hAnsi="Cambria Math" w:cs="Cambria Math"/>
        </w:rPr>
        <w:t>‑</w:t>
      </w:r>
      <w:r w:rsidRPr="00DA70A9">
        <w:rPr>
          <w:rFonts w:ascii="Arial" w:eastAsia="Arial" w:hAnsi="Arial" w:cs="Arial"/>
        </w:rPr>
        <w:t>exon loci were also evaluated with the ±300 bp window. In mouse, TSS screening was restricted to single</w:t>
      </w:r>
      <w:r w:rsidRPr="00DA70A9">
        <w:rPr>
          <w:rFonts w:ascii="Cambria Math" w:eastAsia="Arial" w:hAnsi="Cambria Math" w:cs="Cambria Math"/>
        </w:rPr>
        <w:t>‑</w:t>
      </w:r>
      <w:r w:rsidRPr="00DA70A9">
        <w:rPr>
          <w:rFonts w:ascii="Arial" w:eastAsia="Arial" w:hAnsi="Arial" w:cs="Arial"/>
        </w:rPr>
        <w:t>exon genes using the exon</w:t>
      </w:r>
      <w:r w:rsidRPr="00DA70A9">
        <w:rPr>
          <w:rFonts w:ascii="Cambria Math" w:eastAsia="Arial" w:hAnsi="Cambria Math" w:cs="Cambria Math"/>
        </w:rPr>
        <w:t>‑</w:t>
      </w:r>
      <w:r w:rsidRPr="00DA70A9">
        <w:rPr>
          <w:rFonts w:ascii="Arial" w:eastAsia="Arial" w:hAnsi="Arial" w:cs="Arial"/>
        </w:rPr>
        <w:t xml:space="preserve">overlap rule without a CAGE window. For human only, we further removed genes flagged by IntroVerse_80 as having widespread novel isoform usage in population </w:t>
      </w:r>
      <w:proofErr w:type="spellStart"/>
      <w:r w:rsidR="007E5430" w:rsidRPr="00DA70A9">
        <w:rPr>
          <w:rFonts w:ascii="Arial" w:eastAsia="Arial" w:hAnsi="Arial" w:cs="Arial"/>
        </w:rPr>
        <w:t>GTEx</w:t>
      </w:r>
      <w:proofErr w:type="spellEnd"/>
      <w:r w:rsidR="007E5430" w:rsidRPr="00DA70A9">
        <w:rPr>
          <w:rFonts w:ascii="Arial" w:eastAsia="Arial" w:hAnsi="Arial" w:cs="Arial"/>
        </w:rPr>
        <w:t xml:space="preserve"> </w:t>
      </w:r>
      <w:r w:rsidRPr="00DA70A9">
        <w:rPr>
          <w:rFonts w:ascii="Arial" w:eastAsia="Arial" w:hAnsi="Arial" w:cs="Arial"/>
        </w:rPr>
        <w:t>data (</w:t>
      </w:r>
      <w:proofErr w:type="spellStart"/>
      <w:r w:rsidRPr="00DA70A9">
        <w:rPr>
          <w:rFonts w:ascii="Arial" w:eastAsia="Arial" w:hAnsi="Arial" w:cs="Arial"/>
        </w:rPr>
        <w:t>i.e</w:t>
      </w:r>
      <w:r w:rsidR="00B76333" w:rsidRPr="00DA70A9">
        <w:rPr>
          <w:rFonts w:ascii="Arial" w:eastAsia="Arial" w:hAnsi="Arial" w:cs="Arial"/>
        </w:rPr>
        <w:t>d</w:t>
      </w:r>
      <w:proofErr w:type="spellEnd"/>
      <w:r w:rsidRPr="00DA70A9">
        <w:rPr>
          <w:rFonts w:ascii="Arial" w:eastAsia="Arial" w:hAnsi="Arial" w:cs="Arial"/>
        </w:rPr>
        <w:t>., novel</w:t>
      </w:r>
      <w:r w:rsidRPr="00DA70A9">
        <w:rPr>
          <w:rFonts w:ascii="Cambria Math" w:eastAsia="Arial" w:hAnsi="Cambria Math" w:cs="Cambria Math"/>
        </w:rPr>
        <w:t>‑</w:t>
      </w:r>
      <w:r w:rsidRPr="00DA70A9">
        <w:rPr>
          <w:rFonts w:ascii="Arial" w:eastAsia="Arial" w:hAnsi="Arial" w:cs="Arial"/>
        </w:rPr>
        <w:t>isoform evidence in more than 80% of samples).</w:t>
      </w:r>
    </w:p>
    <w:p w14:paraId="33BD72AE" w14:textId="248448C3" w:rsidR="001023DE" w:rsidRPr="00DA70A9" w:rsidRDefault="001023DE" w:rsidP="006C7777">
      <w:pPr>
        <w:spacing w:before="240" w:after="240"/>
        <w:rPr>
          <w:rFonts w:ascii="Arial" w:eastAsia="Arial" w:hAnsi="Arial" w:cs="Arial"/>
        </w:rPr>
      </w:pPr>
      <w:r w:rsidRPr="00DA70A9">
        <w:rPr>
          <w:rFonts w:ascii="Arial" w:eastAsia="Arial" w:hAnsi="Arial" w:cs="Arial"/>
        </w:rPr>
        <w:t>Expression</w:t>
      </w:r>
      <w:r w:rsidRPr="00DA70A9">
        <w:rPr>
          <w:rFonts w:ascii="Cambria Math" w:eastAsia="Arial" w:hAnsi="Cambria Math" w:cs="Cambria Math"/>
        </w:rPr>
        <w:t>‑</w:t>
      </w:r>
      <w:r w:rsidRPr="00DA70A9">
        <w:rPr>
          <w:rFonts w:ascii="Arial" w:eastAsia="Arial" w:hAnsi="Arial" w:cs="Arial"/>
        </w:rPr>
        <w:t xml:space="preserve">based universality and tissue sets were then established using the resources and thresholds specified in the analysis configuration. For human, we used </w:t>
      </w:r>
      <w:proofErr w:type="spellStart"/>
      <w:r w:rsidRPr="00DA70A9">
        <w:rPr>
          <w:rFonts w:ascii="Arial" w:eastAsia="Arial" w:hAnsi="Arial" w:cs="Arial"/>
        </w:rPr>
        <w:t>Bgee</w:t>
      </w:r>
      <w:proofErr w:type="spellEnd"/>
      <w:r w:rsidRPr="00DA70A9">
        <w:rPr>
          <w:rFonts w:ascii="Arial" w:eastAsia="Arial" w:hAnsi="Arial" w:cs="Arial"/>
        </w:rPr>
        <w:t xml:space="preserve"> present/absent calls and RNA</w:t>
      </w:r>
      <w:r w:rsidRPr="00DA70A9">
        <w:rPr>
          <w:rFonts w:ascii="Cambria Math" w:eastAsia="Arial" w:hAnsi="Cambria Math" w:cs="Cambria Math"/>
        </w:rPr>
        <w:t>‑</w:t>
      </w:r>
      <w:r w:rsidRPr="00DA70A9">
        <w:rPr>
          <w:rFonts w:ascii="Arial" w:eastAsia="Arial" w:hAnsi="Arial" w:cs="Arial"/>
        </w:rPr>
        <w:t>Seq library metadata, retained calls of “gold quality”, “silver quality”, or “bronze quality”, and restricted analysis to tissues with at least 25,000 distinct expressed genes. Genes were called universal if present in at least 99% of retained tissues; anatomical entity IDs were mapped to tissue names and per</w:t>
      </w:r>
      <w:r w:rsidRPr="00DA70A9">
        <w:rPr>
          <w:rFonts w:ascii="Cambria Math" w:eastAsia="Arial" w:hAnsi="Cambria Math" w:cs="Cambria Math"/>
        </w:rPr>
        <w:t>‑</w:t>
      </w:r>
      <w:r w:rsidRPr="00DA70A9">
        <w:rPr>
          <w:rFonts w:ascii="Arial" w:eastAsia="Arial" w:hAnsi="Arial" w:cs="Arial"/>
        </w:rPr>
        <w:t xml:space="preserve">tissue gene sets were emitted using those IDs. For mouse, we used </w:t>
      </w:r>
      <w:proofErr w:type="spellStart"/>
      <w:r w:rsidRPr="00DA70A9">
        <w:rPr>
          <w:rFonts w:ascii="Arial" w:eastAsia="Arial" w:hAnsi="Arial" w:cs="Arial"/>
        </w:rPr>
        <w:t>Bgee</w:t>
      </w:r>
      <w:proofErr w:type="spellEnd"/>
      <w:r w:rsidRPr="00DA70A9">
        <w:rPr>
          <w:rFonts w:ascii="Arial" w:eastAsia="Arial" w:hAnsi="Arial" w:cs="Arial"/>
        </w:rPr>
        <w:t xml:space="preserve"> with the same minimum tissue gene coverage (25,000) and the same quality set, calling universal genes at a 90% prevalence threshold across retained tissues. To reinforce universality, we merged housekeeping genes from HRT Atlas (converted from transcript to gene identifiers via </w:t>
      </w:r>
      <w:proofErr w:type="spellStart"/>
      <w:r w:rsidRPr="00DA70A9">
        <w:rPr>
          <w:rFonts w:ascii="Arial" w:eastAsia="Arial" w:hAnsi="Arial" w:cs="Arial"/>
        </w:rPr>
        <w:t>Ensembl</w:t>
      </w:r>
      <w:proofErr w:type="spellEnd"/>
      <w:r w:rsidRPr="00DA70A9">
        <w:rPr>
          <w:rFonts w:ascii="Arial" w:eastAsia="Arial" w:hAnsi="Arial" w:cs="Arial"/>
        </w:rPr>
        <w:t xml:space="preserve"> REST) into the universal set for each species.</w:t>
      </w:r>
    </w:p>
    <w:p w14:paraId="7CA04700" w14:textId="707FE355" w:rsidR="001023DE" w:rsidRPr="00DA70A9" w:rsidRDefault="001023DE" w:rsidP="006C7777">
      <w:pPr>
        <w:spacing w:before="240" w:after="240"/>
        <w:rPr>
          <w:rFonts w:ascii="Arial" w:eastAsia="Arial" w:hAnsi="Arial" w:cs="Arial"/>
        </w:rPr>
      </w:pPr>
      <w:r w:rsidRPr="00DA70A9">
        <w:rPr>
          <w:rFonts w:ascii="Arial" w:eastAsia="Arial" w:hAnsi="Arial" w:cs="Arial"/>
        </w:rPr>
        <w:t xml:space="preserve">To ensure consistency at the population level beyond presence/absence, we applied an </w:t>
      </w:r>
      <w:proofErr w:type="spellStart"/>
      <w:r w:rsidRPr="00DA70A9">
        <w:rPr>
          <w:rFonts w:ascii="Arial" w:eastAsia="Arial" w:hAnsi="Arial" w:cs="Arial"/>
        </w:rPr>
        <w:t>Alpha</w:t>
      </w:r>
      <w:r w:rsidR="00454699" w:rsidRPr="00DA70A9">
        <w:rPr>
          <w:rFonts w:ascii="Arial" w:eastAsia="Arial" w:hAnsi="Arial" w:cs="Arial"/>
        </w:rPr>
        <w:t>G</w:t>
      </w:r>
      <w:r w:rsidRPr="00DA70A9">
        <w:rPr>
          <w:rFonts w:ascii="Arial" w:eastAsia="Arial" w:hAnsi="Arial" w:cs="Arial"/>
        </w:rPr>
        <w:t>enome</w:t>
      </w:r>
      <w:proofErr w:type="spellEnd"/>
      <w:r w:rsidRPr="00DA70A9">
        <w:rPr>
          <w:rFonts w:ascii="Cambria Math" w:eastAsia="Arial" w:hAnsi="Cambria Math" w:cs="Cambria Math"/>
        </w:rPr>
        <w:t>‑</w:t>
      </w:r>
      <w:r w:rsidRPr="00DA70A9">
        <w:rPr>
          <w:rFonts w:ascii="Arial" w:eastAsia="Arial" w:hAnsi="Arial" w:cs="Arial"/>
        </w:rPr>
        <w:t>based universality screen to the post</w:t>
      </w:r>
      <w:r w:rsidRPr="00DA70A9">
        <w:rPr>
          <w:rFonts w:ascii="Cambria Math" w:eastAsia="Arial" w:hAnsi="Cambria Math" w:cs="Cambria Math"/>
        </w:rPr>
        <w:t>‑</w:t>
      </w:r>
      <w:r w:rsidRPr="00DA70A9">
        <w:rPr>
          <w:rFonts w:ascii="Arial" w:eastAsia="Arial" w:hAnsi="Arial" w:cs="Arial"/>
        </w:rPr>
        <w:t>expression gene set with species</w:t>
      </w:r>
      <w:r w:rsidRPr="00DA70A9">
        <w:rPr>
          <w:rFonts w:ascii="Cambria Math" w:eastAsia="Arial" w:hAnsi="Cambria Math" w:cs="Cambria Math"/>
        </w:rPr>
        <w:t>‑</w:t>
      </w:r>
      <w:r w:rsidRPr="00DA70A9">
        <w:rPr>
          <w:rFonts w:ascii="Arial" w:eastAsia="Arial" w:hAnsi="Arial" w:cs="Arial"/>
        </w:rPr>
        <w:t xml:space="preserve">specific thresholds. In human, genes were retained only if the median </w:t>
      </w:r>
      <w:r w:rsidR="002A68B7" w:rsidRPr="00DA70A9">
        <w:rPr>
          <w:rFonts w:ascii="Arial" w:eastAsia="Arial" w:hAnsi="Arial" w:cs="Arial"/>
        </w:rPr>
        <w:t>RPKM</w:t>
      </w:r>
      <w:r w:rsidRPr="00DA70A9">
        <w:rPr>
          <w:rFonts w:ascii="Arial" w:eastAsia="Arial" w:hAnsi="Arial" w:cs="Arial"/>
        </w:rPr>
        <w:t xml:space="preserve"> across mapped tissues was at least 2.0, if at least 99% of tissues showed </w:t>
      </w:r>
      <w:r w:rsidR="002A68B7" w:rsidRPr="00DA70A9">
        <w:rPr>
          <w:rFonts w:ascii="Arial" w:eastAsia="Arial" w:hAnsi="Arial" w:cs="Arial"/>
        </w:rPr>
        <w:t>RPKM</w:t>
      </w:r>
      <w:r w:rsidRPr="00DA70A9">
        <w:rPr>
          <w:rFonts w:ascii="Arial" w:eastAsia="Arial" w:hAnsi="Arial" w:cs="Arial"/>
        </w:rPr>
        <w:t xml:space="preserve"> exceeding 0.25, and if at least 99% of tissues had an unannotated</w:t>
      </w:r>
      <w:r w:rsidRPr="00DA70A9">
        <w:rPr>
          <w:rFonts w:ascii="Cambria Math" w:eastAsia="Arial" w:hAnsi="Cambria Math" w:cs="Cambria Math"/>
        </w:rPr>
        <w:t>‑</w:t>
      </w:r>
      <w:r w:rsidRPr="00DA70A9">
        <w:rPr>
          <w:rFonts w:ascii="Arial" w:eastAsia="Arial" w:hAnsi="Arial" w:cs="Arial"/>
        </w:rPr>
        <w:t>to</w:t>
      </w:r>
      <w:r w:rsidRPr="00DA70A9">
        <w:rPr>
          <w:rFonts w:ascii="Cambria Math" w:eastAsia="Arial" w:hAnsi="Cambria Math" w:cs="Cambria Math"/>
        </w:rPr>
        <w:t>‑</w:t>
      </w:r>
      <w:r w:rsidRPr="00DA70A9">
        <w:rPr>
          <w:rFonts w:ascii="Arial" w:eastAsia="Arial" w:hAnsi="Arial" w:cs="Arial"/>
        </w:rPr>
        <w:t xml:space="preserve">annotated splice ratio below 0.001. In mouse, the corresponding criteria were a median </w:t>
      </w:r>
      <w:r w:rsidR="002A68B7" w:rsidRPr="00DA70A9">
        <w:rPr>
          <w:rFonts w:ascii="Arial" w:eastAsia="Arial" w:hAnsi="Arial" w:cs="Arial"/>
        </w:rPr>
        <w:t>RPKM</w:t>
      </w:r>
      <w:r w:rsidRPr="00DA70A9">
        <w:rPr>
          <w:rFonts w:ascii="Arial" w:eastAsia="Arial" w:hAnsi="Arial" w:cs="Arial"/>
        </w:rPr>
        <w:t xml:space="preserve"> of at least 0.5, at least 90% of tissues above 0.01 </w:t>
      </w:r>
      <w:r w:rsidR="00414792" w:rsidRPr="00DA70A9">
        <w:rPr>
          <w:rFonts w:ascii="Arial" w:eastAsia="Arial" w:hAnsi="Arial" w:cs="Arial"/>
        </w:rPr>
        <w:t>RPKM</w:t>
      </w:r>
      <w:r w:rsidRPr="00DA70A9">
        <w:rPr>
          <w:rFonts w:ascii="Arial" w:eastAsia="Arial" w:hAnsi="Arial" w:cs="Arial"/>
        </w:rPr>
        <w:t xml:space="preserve">, and at least 90% of tissues with splice </w:t>
      </w:r>
      <w:r w:rsidRPr="00DA70A9">
        <w:rPr>
          <w:rFonts w:ascii="Arial" w:eastAsia="Arial" w:hAnsi="Arial" w:cs="Arial"/>
        </w:rPr>
        <w:lastRenderedPageBreak/>
        <w:t>ratio below 0.01. When reporting tissue</w:t>
      </w:r>
      <w:r w:rsidRPr="00DA70A9">
        <w:rPr>
          <w:rFonts w:ascii="Cambria Math" w:eastAsia="Arial" w:hAnsi="Cambria Math" w:cs="Cambria Math"/>
        </w:rPr>
        <w:t>‑</w:t>
      </w:r>
      <w:r w:rsidRPr="00DA70A9">
        <w:rPr>
          <w:rFonts w:ascii="Arial" w:eastAsia="Arial" w:hAnsi="Arial" w:cs="Arial"/>
        </w:rPr>
        <w:t>specific sets, an additional tissue</w:t>
      </w:r>
      <w:r w:rsidRPr="00DA70A9">
        <w:rPr>
          <w:rFonts w:ascii="Cambria Math" w:eastAsia="Arial" w:hAnsi="Cambria Math" w:cs="Cambria Math"/>
        </w:rPr>
        <w:t>‑</w:t>
      </w:r>
      <w:r w:rsidRPr="00DA70A9">
        <w:rPr>
          <w:rFonts w:ascii="Arial" w:eastAsia="Arial" w:hAnsi="Arial" w:cs="Arial"/>
        </w:rPr>
        <w:t xml:space="preserve">level </w:t>
      </w:r>
      <w:proofErr w:type="spellStart"/>
      <w:r w:rsidRPr="00DA70A9">
        <w:rPr>
          <w:rFonts w:ascii="Arial" w:eastAsia="Arial" w:hAnsi="Arial" w:cs="Arial"/>
        </w:rPr>
        <w:t>Alpha</w:t>
      </w:r>
      <w:r w:rsidR="00454699" w:rsidRPr="00DA70A9">
        <w:rPr>
          <w:rFonts w:ascii="Arial" w:eastAsia="Arial" w:hAnsi="Arial" w:cs="Arial"/>
        </w:rPr>
        <w:t>G</w:t>
      </w:r>
      <w:r w:rsidRPr="00DA70A9">
        <w:rPr>
          <w:rFonts w:ascii="Arial" w:eastAsia="Arial" w:hAnsi="Arial" w:cs="Arial"/>
        </w:rPr>
        <w:t>enome</w:t>
      </w:r>
      <w:proofErr w:type="spellEnd"/>
      <w:r w:rsidRPr="00DA70A9">
        <w:rPr>
          <w:rFonts w:ascii="Arial" w:eastAsia="Arial" w:hAnsi="Arial" w:cs="Arial"/>
        </w:rPr>
        <w:t xml:space="preserve"> screen was applied using tissue </w:t>
      </w:r>
      <w:r w:rsidR="00414792" w:rsidRPr="00DA70A9">
        <w:rPr>
          <w:rFonts w:ascii="Arial" w:eastAsia="Arial" w:hAnsi="Arial" w:cs="Arial"/>
        </w:rPr>
        <w:t>RPKM</w:t>
      </w:r>
      <w:r w:rsidRPr="00DA70A9">
        <w:rPr>
          <w:rFonts w:ascii="Arial" w:eastAsia="Arial" w:hAnsi="Arial" w:cs="Arial"/>
        </w:rPr>
        <w:t xml:space="preserve"> and splice</w:t>
      </w:r>
      <w:r w:rsidRPr="00DA70A9">
        <w:rPr>
          <w:rFonts w:ascii="Cambria Math" w:eastAsia="Arial" w:hAnsi="Cambria Math" w:cs="Cambria Math"/>
        </w:rPr>
        <w:t>‑</w:t>
      </w:r>
      <w:r w:rsidRPr="00DA70A9">
        <w:rPr>
          <w:rFonts w:ascii="Arial" w:eastAsia="Arial" w:hAnsi="Arial" w:cs="Arial"/>
        </w:rPr>
        <w:t xml:space="preserve">ratio thresholds; for human we required </w:t>
      </w:r>
      <w:r w:rsidR="00414792" w:rsidRPr="00DA70A9">
        <w:rPr>
          <w:rFonts w:ascii="Arial" w:eastAsia="Arial" w:hAnsi="Arial" w:cs="Arial"/>
        </w:rPr>
        <w:t>RPKM</w:t>
      </w:r>
      <w:r w:rsidRPr="00DA70A9">
        <w:rPr>
          <w:rFonts w:ascii="Arial" w:eastAsia="Arial" w:hAnsi="Arial" w:cs="Arial"/>
        </w:rPr>
        <w:t xml:space="preserve"> &gt; 6.0 and splice ratio &lt; 0.001 in the tissue of interest, and for mouse </w:t>
      </w:r>
      <w:r w:rsidR="00414792" w:rsidRPr="00DA70A9">
        <w:rPr>
          <w:rFonts w:ascii="Arial" w:eastAsia="Arial" w:hAnsi="Arial" w:cs="Arial"/>
        </w:rPr>
        <w:t>RPKM</w:t>
      </w:r>
      <w:r w:rsidRPr="00DA70A9">
        <w:rPr>
          <w:rFonts w:ascii="Arial" w:eastAsia="Arial" w:hAnsi="Arial" w:cs="Arial"/>
        </w:rPr>
        <w:t xml:space="preserve"> &gt; 1.5 and splice ratio &lt; 0.001. A </w:t>
      </w:r>
      <w:r w:rsidR="00454699" w:rsidRPr="00DA70A9">
        <w:rPr>
          <w:rFonts w:ascii="Arial" w:eastAsia="Arial" w:hAnsi="Arial" w:cs="Arial"/>
        </w:rPr>
        <w:t>small, curated</w:t>
      </w:r>
      <w:r w:rsidRPr="00DA70A9">
        <w:rPr>
          <w:rFonts w:ascii="Arial" w:eastAsia="Arial" w:hAnsi="Arial" w:cs="Arial"/>
        </w:rPr>
        <w:t xml:space="preserve"> exclusion list was applied at the end to remove remaining edge cases. The pipeline writes synchronized mapping subsets alongside each GTF subset and records, for every removed gene, the first filter responsible. Final outputs include species</w:t>
      </w:r>
      <w:r w:rsidRPr="00DA70A9">
        <w:rPr>
          <w:rFonts w:ascii="Cambria Math" w:eastAsia="Arial" w:hAnsi="Cambria Math" w:cs="Cambria Math"/>
        </w:rPr>
        <w:t>‑</w:t>
      </w:r>
      <w:r w:rsidRPr="00DA70A9">
        <w:rPr>
          <w:rFonts w:ascii="Arial" w:eastAsia="Arial" w:hAnsi="Arial" w:cs="Arial"/>
        </w:rPr>
        <w:t>named GTFs (`</w:t>
      </w:r>
      <w:proofErr w:type="spellStart"/>
      <w:r w:rsidRPr="00DA70A9">
        <w:rPr>
          <w:rFonts w:ascii="Arial" w:eastAsia="Arial" w:hAnsi="Arial" w:cs="Arial"/>
        </w:rPr>
        <w:t>tusco_human.gtf</w:t>
      </w:r>
      <w:proofErr w:type="spellEnd"/>
      <w:r w:rsidRPr="00DA70A9">
        <w:rPr>
          <w:rFonts w:ascii="Arial" w:eastAsia="Arial" w:hAnsi="Arial" w:cs="Arial"/>
        </w:rPr>
        <w:t>`, `</w:t>
      </w:r>
      <w:proofErr w:type="spellStart"/>
      <w:r w:rsidRPr="00DA70A9">
        <w:rPr>
          <w:rFonts w:ascii="Arial" w:eastAsia="Arial" w:hAnsi="Arial" w:cs="Arial"/>
        </w:rPr>
        <w:t>tusco_mouse.gtf</w:t>
      </w:r>
      <w:proofErr w:type="spellEnd"/>
      <w:r w:rsidRPr="00DA70A9">
        <w:rPr>
          <w:rFonts w:ascii="Arial" w:eastAsia="Arial" w:hAnsi="Arial" w:cs="Arial"/>
        </w:rPr>
        <w:t>`) and consolidated TUSCO tables with single</w:t>
      </w:r>
      <w:r w:rsidRPr="00DA70A9">
        <w:rPr>
          <w:rFonts w:ascii="Cambria Math" w:eastAsia="Arial" w:hAnsi="Cambria Math" w:cs="Cambria Math"/>
        </w:rPr>
        <w:t>‑</w:t>
      </w:r>
      <w:r w:rsidRPr="00DA70A9">
        <w:rPr>
          <w:rFonts w:ascii="Arial" w:eastAsia="Arial" w:hAnsi="Arial" w:cs="Arial"/>
        </w:rPr>
        <w:t>exon and multi</w:t>
      </w:r>
      <w:r w:rsidRPr="00DA70A9">
        <w:rPr>
          <w:rFonts w:ascii="Cambria Math" w:eastAsia="Arial" w:hAnsi="Cambria Math" w:cs="Cambria Math"/>
        </w:rPr>
        <w:t>‑</w:t>
      </w:r>
      <w:r w:rsidRPr="00DA70A9">
        <w:rPr>
          <w:rFonts w:ascii="Arial" w:eastAsia="Arial" w:hAnsi="Arial" w:cs="Arial"/>
        </w:rPr>
        <w:t>exon splits generated from the final selection.</w:t>
      </w:r>
    </w:p>
    <w:p w14:paraId="3FB0B57A" w14:textId="77777777" w:rsidR="002E0388" w:rsidRPr="00DA70A9" w:rsidRDefault="002E0388" w:rsidP="006C7777">
      <w:pPr>
        <w:pStyle w:val="NormalWeb"/>
        <w:jc w:val="both"/>
        <w:rPr>
          <w:rFonts w:ascii="Arial" w:hAnsi="Arial" w:cs="Arial"/>
          <w:sz w:val="20"/>
          <w:szCs w:val="20"/>
        </w:rPr>
      </w:pPr>
    </w:p>
    <w:p w14:paraId="31D76257" w14:textId="75412D69" w:rsidR="00777A59" w:rsidRPr="00DA70A9" w:rsidRDefault="00777A59" w:rsidP="006C7777">
      <w:pPr>
        <w:pStyle w:val="NormalWeb"/>
        <w:jc w:val="both"/>
        <w:rPr>
          <w:rFonts w:ascii="Arial" w:hAnsi="Arial" w:cs="Arial"/>
          <w:b/>
          <w:bCs/>
          <w:i/>
          <w:iCs/>
          <w:sz w:val="20"/>
          <w:szCs w:val="20"/>
        </w:rPr>
      </w:pPr>
      <w:r w:rsidRPr="00DA70A9">
        <w:rPr>
          <w:rFonts w:ascii="Arial" w:hAnsi="Arial" w:cs="Arial"/>
          <w:b/>
          <w:bCs/>
          <w:i/>
          <w:iCs/>
          <w:sz w:val="20"/>
          <w:szCs w:val="20"/>
        </w:rPr>
        <w:t xml:space="preserve">Sample Preparation, Library Construction, and Computational Pipeline Parameters </w:t>
      </w:r>
    </w:p>
    <w:p w14:paraId="1288E1D9" w14:textId="32A3F132" w:rsidR="0067110C" w:rsidRPr="00DA70A9" w:rsidRDefault="03510BD6" w:rsidP="006C7777">
      <w:pPr>
        <w:spacing w:before="100" w:beforeAutospacing="1" w:after="100" w:afterAutospacing="1"/>
        <w:rPr>
          <w:rFonts w:ascii="Arial" w:eastAsia="Times New Roman" w:hAnsi="Arial" w:cs="Arial"/>
        </w:rPr>
      </w:pPr>
      <w:r w:rsidRPr="00DA70A9">
        <w:rPr>
          <w:rFonts w:ascii="Arial" w:eastAsia="Times New Roman" w:hAnsi="Arial" w:cs="Arial"/>
        </w:rPr>
        <w:t xml:space="preserve">Long-read RNA-seq datasets used in this study were derived from multiple sources to enable a robust evaluation of transcriptome reconstruction using the TUSCO framework. Data were collected from both public repositories and our laboratory to provide diverse experimental conditions. </w:t>
      </w:r>
    </w:p>
    <w:p w14:paraId="7B166034" w14:textId="77777777" w:rsidR="005A11CB" w:rsidRPr="00DA70A9" w:rsidRDefault="03510BD6" w:rsidP="006C7777">
      <w:pPr>
        <w:spacing w:before="100" w:beforeAutospacing="1" w:after="100" w:afterAutospacing="1"/>
        <w:rPr>
          <w:rFonts w:ascii="Arial" w:eastAsia="Times New Roman" w:hAnsi="Arial" w:cs="Arial"/>
        </w:rPr>
      </w:pPr>
      <w:r w:rsidRPr="00DA70A9">
        <w:rPr>
          <w:rFonts w:ascii="Arial" w:eastAsia="Times New Roman" w:hAnsi="Arial" w:cs="Arial"/>
        </w:rPr>
        <w:t xml:space="preserve">The LRGASP dataset comprises long-read sequencing data generated using Oxford Nanopore Technologies (ONT) and Pacific Biosciences (PacBio) platforms. These data, which include samples from human WTC11 induced pluripotent stem cells (iPSC) and mouse embryonic stem (ES) cells, were retrieved from the Synapse repository (https://www.synapse.org/Synapse:syn25007472/wiki/608702). The RNA degradation experiment data were obtained to assess the impact of sample quality on transcript recovery. FAST5 and FASTQ files for these experiments are available via the European Nucleotide Archive (ENA) under accession PRJEB53210, and additional FASTQ files from a post-mortem brain sample are accessible from the European Genome-Phenome Archive (EGA) under accession EGAS00001006542. </w:t>
      </w:r>
    </w:p>
    <w:p w14:paraId="082BB253" w14:textId="68F8D018" w:rsidR="005A11CB" w:rsidRPr="00DA70A9" w:rsidRDefault="005A11CB" w:rsidP="006C7777">
      <w:pPr>
        <w:spacing w:before="100" w:beforeAutospacing="1" w:after="100" w:afterAutospacing="1"/>
        <w:rPr>
          <w:rFonts w:ascii="Arial" w:eastAsia="Times New Roman" w:hAnsi="Arial" w:cs="Arial"/>
        </w:rPr>
      </w:pPr>
      <w:r w:rsidRPr="00DA70A9">
        <w:rPr>
          <w:rFonts w:ascii="Arial" w:eastAsia="Times New Roman" w:hAnsi="Arial" w:cs="Arial"/>
        </w:rPr>
        <w:t xml:space="preserve">Mouse kidney dataset (PacBio Iso-Seq, young samples). Kidneys were dissected from five male C57BL/6J wild-type mice (3 months old). Tissues were homogenized using </w:t>
      </w:r>
      <w:proofErr w:type="spellStart"/>
      <w:r w:rsidRPr="00DA70A9">
        <w:rPr>
          <w:rFonts w:ascii="Arial" w:eastAsia="Times New Roman" w:hAnsi="Arial" w:cs="Arial"/>
        </w:rPr>
        <w:t>FastPrep</w:t>
      </w:r>
      <w:proofErr w:type="spellEnd"/>
      <w:r w:rsidRPr="00DA70A9">
        <w:rPr>
          <w:rFonts w:ascii="Arial" w:eastAsia="Times New Roman" w:hAnsi="Arial" w:cs="Arial"/>
        </w:rPr>
        <w:t xml:space="preserve">, and total RNA was extracted with the Maxwell 16 LEV </w:t>
      </w:r>
      <w:proofErr w:type="spellStart"/>
      <w:r w:rsidRPr="00DA70A9">
        <w:rPr>
          <w:rFonts w:ascii="Arial" w:eastAsia="Times New Roman" w:hAnsi="Arial" w:cs="Arial"/>
        </w:rPr>
        <w:t>simplyRNA</w:t>
      </w:r>
      <w:proofErr w:type="spellEnd"/>
      <w:r w:rsidRPr="00DA70A9">
        <w:rPr>
          <w:rFonts w:ascii="Arial" w:eastAsia="Times New Roman" w:hAnsi="Arial" w:cs="Arial"/>
        </w:rPr>
        <w:t xml:space="preserve"> Purification Kit. cDNA synthesis and sample barcoding followed PacBio Iso-Seq recommendations using the </w:t>
      </w:r>
      <w:proofErr w:type="spellStart"/>
      <w:r w:rsidRPr="00DA70A9">
        <w:rPr>
          <w:rFonts w:ascii="Arial" w:eastAsia="Times New Roman" w:hAnsi="Arial" w:cs="Arial"/>
        </w:rPr>
        <w:t>NEBNext</w:t>
      </w:r>
      <w:proofErr w:type="spellEnd"/>
      <w:r w:rsidRPr="00DA70A9">
        <w:rPr>
          <w:rFonts w:ascii="Arial" w:eastAsia="Times New Roman" w:hAnsi="Arial" w:cs="Arial"/>
        </w:rPr>
        <w:t xml:space="preserve"> Single Cell/Low Input cDNA Synthesis &amp; Amplification kit. Five barcoded Iso-Seq libraries (K31–K35) were prepared with the Iso-Seq </w:t>
      </w:r>
      <w:proofErr w:type="spellStart"/>
      <w:r w:rsidRPr="00DA70A9">
        <w:rPr>
          <w:rFonts w:ascii="Arial" w:eastAsia="Times New Roman" w:hAnsi="Arial" w:cs="Arial"/>
        </w:rPr>
        <w:t>SMRTbell</w:t>
      </w:r>
      <w:proofErr w:type="spellEnd"/>
      <w:r w:rsidRPr="00DA70A9">
        <w:rPr>
          <w:rFonts w:ascii="Arial" w:eastAsia="Times New Roman" w:hAnsi="Arial" w:cs="Arial"/>
        </w:rPr>
        <w:t xml:space="preserve"> prep kit 3.0 and sequenced on a PacBio Sequel </w:t>
      </w:r>
      <w:proofErr w:type="spellStart"/>
      <w:r w:rsidRPr="00DA70A9">
        <w:rPr>
          <w:rFonts w:ascii="Arial" w:eastAsia="Times New Roman" w:hAnsi="Arial" w:cs="Arial"/>
        </w:rPr>
        <w:t>IIe</w:t>
      </w:r>
      <w:proofErr w:type="spellEnd"/>
      <w:r w:rsidRPr="00DA70A9">
        <w:rPr>
          <w:rFonts w:ascii="Arial" w:eastAsia="Times New Roman" w:hAnsi="Arial" w:cs="Arial"/>
        </w:rPr>
        <w:t>. This dataset will be made publicly available upon publication.</w:t>
      </w:r>
    </w:p>
    <w:p w14:paraId="52315DE1" w14:textId="0F64DB58" w:rsidR="005A11CB" w:rsidRPr="00DA70A9" w:rsidRDefault="005A11CB" w:rsidP="006C7777">
      <w:pPr>
        <w:spacing w:before="100" w:beforeAutospacing="1" w:after="100" w:afterAutospacing="1"/>
        <w:rPr>
          <w:rFonts w:ascii="Arial" w:eastAsia="Times New Roman" w:hAnsi="Arial" w:cs="Arial"/>
        </w:rPr>
      </w:pPr>
      <w:r w:rsidRPr="00DA70A9">
        <w:rPr>
          <w:rFonts w:ascii="Arial" w:eastAsia="Times New Roman" w:hAnsi="Arial" w:cs="Arial"/>
        </w:rPr>
        <w:t xml:space="preserve">Mouse-specific laboratory procedures. RNA quantity and integrity were assessed prior to library preparation (e.g., Agilent Bioanalyzer to obtain RIN values). No direct-RNA or ONT libraries were generated for this mouse dataset. Library preparation strictly followed the PacBio Iso-Seq workflow: full-length cDNA amplification and barcoding, </w:t>
      </w:r>
      <w:proofErr w:type="spellStart"/>
      <w:r w:rsidRPr="00DA70A9">
        <w:rPr>
          <w:rFonts w:ascii="Arial" w:eastAsia="Times New Roman" w:hAnsi="Arial" w:cs="Arial"/>
        </w:rPr>
        <w:t>SMRTbell</w:t>
      </w:r>
      <w:proofErr w:type="spellEnd"/>
      <w:r w:rsidRPr="00DA70A9">
        <w:rPr>
          <w:rFonts w:ascii="Arial" w:eastAsia="Times New Roman" w:hAnsi="Arial" w:cs="Arial"/>
        </w:rPr>
        <w:t xml:space="preserve"> construction with the Iso-Seq </w:t>
      </w:r>
      <w:proofErr w:type="spellStart"/>
      <w:r w:rsidRPr="00DA70A9">
        <w:rPr>
          <w:rFonts w:ascii="Arial" w:eastAsia="Times New Roman" w:hAnsi="Arial" w:cs="Arial"/>
        </w:rPr>
        <w:t>SMRTbell</w:t>
      </w:r>
      <w:proofErr w:type="spellEnd"/>
      <w:r w:rsidRPr="00DA70A9">
        <w:rPr>
          <w:rFonts w:ascii="Arial" w:eastAsia="Times New Roman" w:hAnsi="Arial" w:cs="Arial"/>
        </w:rPr>
        <w:t xml:space="preserve"> prep kit 3.0, and sequencing on the Sequel </w:t>
      </w:r>
      <w:proofErr w:type="spellStart"/>
      <w:r w:rsidRPr="00DA70A9">
        <w:rPr>
          <w:rFonts w:ascii="Arial" w:eastAsia="Times New Roman" w:hAnsi="Arial" w:cs="Arial"/>
        </w:rPr>
        <w:t>IIe</w:t>
      </w:r>
      <w:proofErr w:type="spellEnd"/>
      <w:r w:rsidRPr="00DA70A9">
        <w:rPr>
          <w:rFonts w:ascii="Arial" w:eastAsia="Times New Roman" w:hAnsi="Arial" w:cs="Arial"/>
        </w:rPr>
        <w:t xml:space="preserve"> platform. Run and enzyme/incubation parameters followed the manufacturer’s recommendations for Iso-Seq libraries.</w:t>
      </w:r>
    </w:p>
    <w:p w14:paraId="79872DB4" w14:textId="2475B1C3" w:rsidR="0067110C" w:rsidRPr="00DA70A9" w:rsidRDefault="03510BD6" w:rsidP="006C7777">
      <w:pPr>
        <w:spacing w:before="100" w:beforeAutospacing="1" w:after="100" w:afterAutospacing="1"/>
        <w:rPr>
          <w:rFonts w:ascii="Arial" w:eastAsia="Times New Roman" w:hAnsi="Arial" w:cs="Arial"/>
        </w:rPr>
      </w:pPr>
      <w:r w:rsidRPr="00DA70A9">
        <w:rPr>
          <w:rFonts w:ascii="Arial" w:eastAsia="Times New Roman" w:hAnsi="Arial" w:cs="Arial"/>
        </w:rPr>
        <w:t xml:space="preserve">For all dataset, alignment of reads to the reference genome was conducted using minimap2 (version 2.0) via a custom SLURM-based script. The reference genome, provided in FASTA format (e.g., </w:t>
      </w:r>
      <w:proofErr w:type="spellStart"/>
      <w:r w:rsidRPr="00DA70A9">
        <w:rPr>
          <w:rFonts w:ascii="Arial" w:eastAsia="Times New Roman" w:hAnsi="Arial" w:cs="Arial"/>
        </w:rPr>
        <w:t>ref_chr_primary_</w:t>
      </w:r>
      <w:proofErr w:type="gramStart"/>
      <w:r w:rsidRPr="00DA70A9">
        <w:rPr>
          <w:rFonts w:ascii="Arial" w:eastAsia="Times New Roman" w:hAnsi="Arial" w:cs="Arial"/>
        </w:rPr>
        <w:t>assembly.fasta</w:t>
      </w:r>
      <w:proofErr w:type="spellEnd"/>
      <w:proofErr w:type="gramEnd"/>
      <w:r w:rsidRPr="00DA70A9">
        <w:rPr>
          <w:rFonts w:ascii="Arial" w:eastAsia="Times New Roman" w:hAnsi="Arial" w:cs="Arial"/>
        </w:rPr>
        <w:t>), was pre-indexed using minimap2, and alignments were performed with parameters specifically tuned for long-read RNA-seq data. Key settings included the use of the -ax splice option for spliced alignment, --secondary=no to suppress secondary alignments, and -C5 to penalize ambiguous mappings. The flag -</w:t>
      </w:r>
      <w:proofErr w:type="spellStart"/>
      <w:r w:rsidRPr="00DA70A9">
        <w:rPr>
          <w:rFonts w:ascii="Arial" w:eastAsia="Times New Roman" w:hAnsi="Arial" w:cs="Arial"/>
        </w:rPr>
        <w:t>uf</w:t>
      </w:r>
      <w:proofErr w:type="spellEnd"/>
      <w:r w:rsidRPr="00DA70A9">
        <w:rPr>
          <w:rFonts w:ascii="Arial" w:eastAsia="Times New Roman" w:hAnsi="Arial" w:cs="Arial"/>
        </w:rPr>
        <w:t xml:space="preserve"> was used to indicate that input reads were from long-read sequencing technologies, and the maximum intron length was set to 2,000,000 nucleotides via the -G 2000000 parameter. Code is provided as Supplementary File S2.</w:t>
      </w:r>
    </w:p>
    <w:p w14:paraId="3187333A" w14:textId="77777777" w:rsidR="000B3E31" w:rsidRDefault="03510BD6" w:rsidP="006C7777">
      <w:pPr>
        <w:spacing w:before="100" w:beforeAutospacing="1" w:after="100" w:afterAutospacing="1"/>
        <w:rPr>
          <w:rFonts w:ascii="Arial" w:eastAsia="Times New Roman" w:hAnsi="Arial" w:cs="Arial"/>
        </w:rPr>
      </w:pPr>
      <w:r w:rsidRPr="00DA70A9">
        <w:rPr>
          <w:rFonts w:ascii="Arial" w:eastAsia="Times New Roman" w:hAnsi="Arial" w:cs="Arial"/>
        </w:rPr>
        <w:lastRenderedPageBreak/>
        <w:t>For transcript quality control and classification, the SQANTI3 pipeline (version 5.0) was applied. In general, the pipeline uses reference annotation, genome, and CAGE peak data specific to the organism under study.</w:t>
      </w:r>
      <w:r w:rsidR="00F34076">
        <w:rPr>
          <w:rFonts w:ascii="Arial" w:eastAsia="Times New Roman" w:hAnsi="Arial" w:cs="Arial"/>
        </w:rPr>
        <w:t xml:space="preserve"> </w:t>
      </w:r>
      <w:r w:rsidRPr="00DA70A9">
        <w:rPr>
          <w:rFonts w:ascii="Arial" w:eastAsia="Times New Roman" w:hAnsi="Arial" w:cs="Arial"/>
        </w:rPr>
        <w:t>The workflow is divided into three major stages: a quality control (QC) stage using sqanti3_qc.py, a filtering stage using sqanti3_filter.py that applies criteria defined in a default JSON configuration file to remove low-confidence transcript models, and a rescue stage using sqanti3_rescue.py to recover valid transcripts that may have been overly filtered</w:t>
      </w:r>
      <w:r w:rsidR="00587144">
        <w:rPr>
          <w:rFonts w:ascii="Arial" w:eastAsia="Times New Roman" w:hAnsi="Arial" w:cs="Arial"/>
        </w:rPr>
        <w:fldChar w:fldCharType="begin"/>
      </w:r>
      <w:r w:rsidR="000B3E31">
        <w:rPr>
          <w:rFonts w:ascii="Arial" w:eastAsia="Times New Roman" w:hAnsi="Arial" w:cs="Arial"/>
        </w:rPr>
        <w:instrText xml:space="preserve"> ADDIN ZOTERO_ITEM CSL_CITATION {"citationID":"qxwtC1uZ","properties":{"formattedCitation":"\\super 16\\nosupersub{}","plainCitation":"16","noteIndex":0},"citationItems":[{"id":22,"uris":["http://zotero.org/users/local/fy8HeEeu/items/NGNTWKAX"],"itemData":{"id":22,"type":"article-journal","abstract":"SQANTI3 is a tool designed for the quality control, curation and annotation of long-read transcript models obtained with third-generation sequencing technologies. Leveraging its annotation framework, SQANTI3 calculates quality descriptors of transcript models, junctions and transcript ends. With this information, potential artifacts can be identified and replaced with reliable sequences. Furthermore, the integrated functional annotation feature enables subsequent functional iso-transcriptomics analyses.","container-title":"Nature Methods","DOI":"10.1038/s41592-024-02229-2","ISSN":"1548-7105","issue":"5","journalAbbreviation":"Nat Methods","language":"en","license":"2024 The Author(s)","note":"publisher: Nature Publishing Group","page":"793-797","source":"www.nature.com","title":"SQANTI3: curation of long-read transcriptomes for accurate identification of known and novel isoforms","title-short":"SQANTI3","volume":"21","author":[{"family":"Pardo-Palacios","given":"Francisco J."},{"family":"Arzalluz-Luque","given":"Angeles"},{"family":"Kondratova","given":"Liudmyla"},{"family":"Salguero","given":"Pedro"},{"family":"Mestre-Tomás","given":"Jorge"},{"family":"Amorín","given":"Rocío"},{"family":"Estevan-Morió","given":"Eva"},{"family":"Liu","given":"Tianyuan"},{"family":"Nanni","given":"Adalena"},{"family":"McIntyre","given":"Lauren"},{"family":"Tseng","given":"Elizabeth"},{"family":"Conesa","given":"Ana"}],"issued":{"date-parts":[["2024",5]]}}}],"schema":"https://github.com/citation-style-language/schema/raw/master/csl-citation.json"} </w:instrText>
      </w:r>
      <w:r w:rsidR="00587144">
        <w:rPr>
          <w:rFonts w:ascii="Arial" w:eastAsia="Times New Roman" w:hAnsi="Arial" w:cs="Arial"/>
        </w:rPr>
        <w:fldChar w:fldCharType="separate"/>
      </w:r>
      <w:r w:rsidR="000B3E31" w:rsidRPr="000B3E31">
        <w:rPr>
          <w:rFonts w:ascii="Arial" w:hAnsi="Arial" w:cs="Arial"/>
          <w:szCs w:val="24"/>
          <w:vertAlign w:val="superscript"/>
        </w:rPr>
        <w:t>16</w:t>
      </w:r>
      <w:r w:rsidR="00587144">
        <w:rPr>
          <w:rFonts w:ascii="Arial" w:eastAsia="Times New Roman" w:hAnsi="Arial" w:cs="Arial"/>
        </w:rPr>
        <w:fldChar w:fldCharType="end"/>
      </w:r>
      <w:r w:rsidRPr="00DA70A9">
        <w:rPr>
          <w:rFonts w:ascii="Arial" w:eastAsia="Times New Roman" w:hAnsi="Arial" w:cs="Arial"/>
        </w:rPr>
        <w:t xml:space="preserve">. </w:t>
      </w:r>
    </w:p>
    <w:p w14:paraId="72C96DF3" w14:textId="77777777" w:rsidR="004E303C" w:rsidRDefault="00042DD1" w:rsidP="006C7777">
      <w:pPr>
        <w:pStyle w:val="NormalWeb"/>
        <w:jc w:val="both"/>
        <w:rPr>
          <w:rFonts w:ascii="Arial" w:hAnsi="Arial" w:cs="Arial"/>
          <w:sz w:val="20"/>
          <w:szCs w:val="20"/>
        </w:rPr>
      </w:pPr>
      <w:r w:rsidRPr="00042DD1">
        <w:rPr>
          <w:rFonts w:ascii="Arial" w:hAnsi="Arial" w:cs="Arial"/>
          <w:sz w:val="20"/>
          <w:szCs w:val="20"/>
        </w:rPr>
        <w:t>We ran the pipeline with common options such as --</w:t>
      </w:r>
      <w:proofErr w:type="spellStart"/>
      <w:r w:rsidRPr="00042DD1">
        <w:rPr>
          <w:rFonts w:ascii="Arial" w:hAnsi="Arial" w:cs="Arial"/>
          <w:sz w:val="20"/>
          <w:szCs w:val="20"/>
        </w:rPr>
        <w:t>skipORF</w:t>
      </w:r>
      <w:proofErr w:type="spellEnd"/>
      <w:r w:rsidRPr="00042DD1">
        <w:rPr>
          <w:rFonts w:ascii="Arial" w:hAnsi="Arial" w:cs="Arial"/>
          <w:sz w:val="20"/>
          <w:szCs w:val="20"/>
        </w:rPr>
        <w:t xml:space="preserve"> to bypass open reading frame prediction and provided coverage files—per-base coverage tracks derived from short-read sequencing of the same samples—to support splice junction validation. </w:t>
      </w:r>
    </w:p>
    <w:p w14:paraId="78D629CB" w14:textId="77777777" w:rsidR="004E303C" w:rsidRDefault="004E303C" w:rsidP="006C7777">
      <w:pPr>
        <w:pStyle w:val="NormalWeb"/>
        <w:jc w:val="both"/>
        <w:rPr>
          <w:rFonts w:ascii="Arial" w:hAnsi="Arial" w:cs="Arial"/>
          <w:sz w:val="20"/>
          <w:szCs w:val="20"/>
        </w:rPr>
      </w:pPr>
    </w:p>
    <w:p w14:paraId="29D9F914" w14:textId="348BF8D7" w:rsidR="00356500" w:rsidRPr="00DA70A9" w:rsidRDefault="00835F14" w:rsidP="006C7777">
      <w:pPr>
        <w:pStyle w:val="NormalWeb"/>
        <w:jc w:val="both"/>
        <w:rPr>
          <w:rFonts w:ascii="Arial" w:hAnsi="Arial" w:cs="Arial"/>
          <w:sz w:val="20"/>
          <w:szCs w:val="20"/>
        </w:rPr>
      </w:pPr>
      <w:r w:rsidRPr="00DA70A9">
        <w:rPr>
          <w:rFonts w:ascii="Arial" w:hAnsi="Arial" w:cs="Arial"/>
          <w:b/>
          <w:bCs/>
          <w:i/>
          <w:iCs/>
          <w:sz w:val="20"/>
          <w:szCs w:val="20"/>
        </w:rPr>
        <w:t>Transcriptome Reconstruction with FLAIR</w:t>
      </w:r>
    </w:p>
    <w:p w14:paraId="080970AA" w14:textId="13D00951" w:rsidR="03510BD6" w:rsidRDefault="03510BD6" w:rsidP="00653DF7">
      <w:pPr>
        <w:spacing w:before="100" w:beforeAutospacing="1" w:after="100" w:afterAutospacing="1"/>
        <w:rPr>
          <w:rFonts w:ascii="Arial" w:eastAsia="Times New Roman" w:hAnsi="Arial" w:cs="Arial"/>
        </w:rPr>
      </w:pPr>
      <w:r w:rsidRPr="00DA70A9">
        <w:rPr>
          <w:rFonts w:ascii="Arial" w:eastAsia="Times New Roman" w:hAnsi="Arial" w:cs="Arial"/>
        </w:rPr>
        <w:t>We reconstructed transcriptomes for three datasets —(</w:t>
      </w:r>
      <w:proofErr w:type="spellStart"/>
      <w:r w:rsidRPr="00DA70A9">
        <w:rPr>
          <w:rFonts w:ascii="Arial" w:eastAsia="Times New Roman" w:hAnsi="Arial" w:cs="Arial"/>
        </w:rPr>
        <w:t>i</w:t>
      </w:r>
      <w:proofErr w:type="spellEnd"/>
      <w:r w:rsidRPr="00DA70A9">
        <w:rPr>
          <w:rFonts w:ascii="Arial" w:eastAsia="Times New Roman" w:hAnsi="Arial" w:cs="Arial"/>
        </w:rPr>
        <w:t>) the LRGASP project (Oxford Nanopore [</w:t>
      </w:r>
      <w:proofErr w:type="spellStart"/>
      <w:r w:rsidRPr="00DA70A9">
        <w:rPr>
          <w:rFonts w:ascii="Arial" w:eastAsia="Times New Roman" w:hAnsi="Arial" w:cs="Arial"/>
        </w:rPr>
        <w:t>MinION</w:t>
      </w:r>
      <w:proofErr w:type="spellEnd"/>
      <w:r w:rsidRPr="00DA70A9">
        <w:rPr>
          <w:rFonts w:ascii="Arial" w:eastAsia="Times New Roman" w:hAnsi="Arial" w:cs="Arial"/>
        </w:rPr>
        <w:t xml:space="preserve"> R10.4.1] and PacBio Sequel II), (ii) the RNA degradation dataset (Oxford Nanopore direct RNA [</w:t>
      </w:r>
      <w:proofErr w:type="spellStart"/>
      <w:r w:rsidRPr="00DA70A9">
        <w:rPr>
          <w:rFonts w:ascii="Arial" w:eastAsia="Times New Roman" w:hAnsi="Arial" w:cs="Arial"/>
        </w:rPr>
        <w:t>GridION</w:t>
      </w:r>
      <w:proofErr w:type="spellEnd"/>
      <w:r w:rsidRPr="00DA70A9">
        <w:rPr>
          <w:rFonts w:ascii="Arial" w:eastAsia="Times New Roman" w:hAnsi="Arial" w:cs="Arial"/>
        </w:rPr>
        <w:t xml:space="preserve"> R9.4.1]), and (iii) the replicated Mouse Brain &amp; Kidney dataset (PacBio Sequel </w:t>
      </w:r>
      <w:proofErr w:type="spellStart"/>
      <w:r w:rsidRPr="00DA70A9">
        <w:rPr>
          <w:rFonts w:ascii="Arial" w:eastAsia="Times New Roman" w:hAnsi="Arial" w:cs="Arial"/>
        </w:rPr>
        <w:t>IIe</w:t>
      </w:r>
      <w:proofErr w:type="spellEnd"/>
      <w:r w:rsidRPr="00DA70A9">
        <w:rPr>
          <w:rFonts w:ascii="Arial" w:eastAsia="Times New Roman" w:hAnsi="Arial" w:cs="Arial"/>
        </w:rPr>
        <w:t xml:space="preserve"> and Oxford Nanopore cDNA [R9.4.1])—using FLAIR v2.0</w:t>
      </w:r>
      <w:r w:rsidR="007A1CB2" w:rsidRPr="00DA70A9">
        <w:rPr>
          <w:rFonts w:ascii="Arial" w:eastAsia="Times New Roman" w:hAnsi="Arial" w:cs="Arial"/>
        </w:rPr>
        <w:fldChar w:fldCharType="begin"/>
      </w:r>
      <w:r w:rsidR="00F211BD">
        <w:rPr>
          <w:rFonts w:ascii="Arial" w:eastAsia="Times New Roman" w:hAnsi="Arial" w:cs="Arial"/>
        </w:rPr>
        <w:instrText xml:space="preserve"> ADDIN ZOTERO_ITEM CSL_CITATION {"citationID":"3xVDvX7W","properties":{"formattedCitation":"\\super 49\\nosupersub{}","plainCitation":"49","noteIndex":0},"citationItems":[{"id":182,"uris":["http://zotero.org/users/local/fy8HeEeu/items/TGV7SCWQ"],"itemData":{"id":182,"type":"article-journal","abstract":"RNA-seq has brought forth significant discoveries regarding aberrations in RNA processing, implicating these RNA variants in a variety of diseases. Aberrant splicing and single nucleotide variants (SNVs) in RNA have been demonstrated to alter transcript stability, localization, and function. In particular, the upregulation of ADAR, an enzyme that mediates adenosine-to-inosine editing, has been previously linked to an increase in the invasiveness of lung adenocarcinoma cells and associated with splicing regulation. Despite the functional importance of studying splicing and SNVs, the use of short-read RNA-seq has limited the community’s ability to interrogate both forms of RNA variation simultaneously.","container-title":"Genome Biology","DOI":"10.1186/s13059-024-03301-y","ISSN":"1474-760X","issue":"1","journalAbbreviation":"Genome Biology","page":"173","source":"BioMed Central","title":"Detecting haplotype-specific transcript variation in long reads with FLAIR2","volume":"25","author":[{"family":"Tang","given":"Alison D."},{"family":"Felton","given":"Colette"},{"family":"Hrabeta-Robinson","given":"Eva"},{"family":"Volden","given":"Roger"},{"family":"Vollmers","given":"Christopher"},{"family":"Brooks","given":"Angela N."}],"issued":{"date-parts":[["2024",7,2]]}}}],"schema":"https://github.com/citation-style-language/schema/raw/master/csl-citation.json"} </w:instrText>
      </w:r>
      <w:r w:rsidR="007A1CB2" w:rsidRPr="00DA70A9">
        <w:rPr>
          <w:rFonts w:ascii="Arial" w:eastAsia="Times New Roman" w:hAnsi="Arial" w:cs="Arial"/>
        </w:rPr>
        <w:fldChar w:fldCharType="separate"/>
      </w:r>
      <w:r w:rsidR="00F211BD" w:rsidRPr="00F211BD">
        <w:rPr>
          <w:rFonts w:ascii="Arial" w:hAnsi="Arial" w:cs="Arial"/>
          <w:szCs w:val="24"/>
          <w:vertAlign w:val="superscript"/>
        </w:rPr>
        <w:t>49</w:t>
      </w:r>
      <w:r w:rsidR="007A1CB2" w:rsidRPr="00DA70A9">
        <w:rPr>
          <w:rFonts w:ascii="Arial" w:eastAsia="Times New Roman" w:hAnsi="Arial" w:cs="Arial"/>
        </w:rPr>
        <w:fldChar w:fldCharType="end"/>
      </w:r>
      <w:r w:rsidRPr="00DA70A9">
        <w:rPr>
          <w:rFonts w:ascii="Arial" w:eastAsia="Times New Roman" w:hAnsi="Arial" w:cs="Arial"/>
        </w:rPr>
        <w:t>. Briefly, raw long</w:t>
      </w:r>
      <w:r w:rsidRPr="00DA70A9">
        <w:rPr>
          <w:rFonts w:ascii="Cambria Math" w:eastAsia="Times New Roman" w:hAnsi="Cambria Math" w:cs="Cambria Math"/>
        </w:rPr>
        <w:t>‐</w:t>
      </w:r>
      <w:r w:rsidRPr="00DA70A9">
        <w:rPr>
          <w:rFonts w:ascii="Arial" w:eastAsia="Times New Roman" w:hAnsi="Arial" w:cs="Arial"/>
        </w:rPr>
        <w:t>read sequencing data were first converted to FASTQ format. Reads were then aligned to the reference genome using FLAIR’s align functionality, which internally wraps minimap2 to produce BED</w:t>
      </w:r>
      <w:r w:rsidRPr="00DA70A9">
        <w:rPr>
          <w:rFonts w:ascii="Cambria Math" w:eastAsia="Times New Roman" w:hAnsi="Cambria Math" w:cs="Cambria Math"/>
        </w:rPr>
        <w:t>‐</w:t>
      </w:r>
      <w:r w:rsidRPr="00DA70A9">
        <w:rPr>
          <w:rFonts w:ascii="Arial" w:eastAsia="Times New Roman" w:hAnsi="Arial" w:cs="Arial"/>
        </w:rPr>
        <w:t>formatted alignments. Alignment files were refined with the correct module to adjust splice junctions and transcript boundaries based on an external reference GTF annotation, thereby rectifying mis</w:t>
      </w:r>
      <w:r w:rsidRPr="00DA70A9">
        <w:rPr>
          <w:rFonts w:ascii="Cambria Math" w:eastAsia="Times New Roman" w:hAnsi="Cambria Math" w:cs="Cambria Math"/>
        </w:rPr>
        <w:t>‐</w:t>
      </w:r>
      <w:r w:rsidRPr="00DA70A9">
        <w:rPr>
          <w:rFonts w:ascii="Arial" w:eastAsia="Times New Roman" w:hAnsi="Arial" w:cs="Arial"/>
        </w:rPr>
        <w:t>mappings often attributable to error</w:t>
      </w:r>
      <w:r w:rsidRPr="00DA70A9">
        <w:rPr>
          <w:rFonts w:ascii="Cambria Math" w:eastAsia="Times New Roman" w:hAnsi="Cambria Math" w:cs="Cambria Math"/>
        </w:rPr>
        <w:t>‐</w:t>
      </w:r>
      <w:r w:rsidRPr="00DA70A9">
        <w:rPr>
          <w:rFonts w:ascii="Arial" w:eastAsia="Times New Roman" w:hAnsi="Arial" w:cs="Arial"/>
        </w:rPr>
        <w:t>prone nanopore signals.</w:t>
      </w:r>
    </w:p>
    <w:p w14:paraId="526F87AB" w14:textId="77777777" w:rsidR="00653DF7" w:rsidRPr="00653DF7" w:rsidRDefault="00653DF7" w:rsidP="00653DF7">
      <w:pPr>
        <w:spacing w:before="100" w:beforeAutospacing="1" w:after="100" w:afterAutospacing="1"/>
        <w:rPr>
          <w:rFonts w:ascii="Arial" w:eastAsia="Times New Roman" w:hAnsi="Arial" w:cs="Arial"/>
        </w:rPr>
      </w:pPr>
    </w:p>
    <w:p w14:paraId="6EBCB9E4" w14:textId="6D80B1F2" w:rsidR="007A1CB2" w:rsidRPr="00DA70A9" w:rsidRDefault="00D80113" w:rsidP="006C7777">
      <w:pPr>
        <w:pStyle w:val="NormalWeb"/>
        <w:jc w:val="both"/>
        <w:rPr>
          <w:rFonts w:ascii="Arial" w:hAnsi="Arial" w:cs="Arial"/>
          <w:b/>
          <w:bCs/>
          <w:i/>
          <w:iCs/>
          <w:sz w:val="20"/>
          <w:szCs w:val="20"/>
        </w:rPr>
      </w:pPr>
      <w:r w:rsidRPr="00DA70A9">
        <w:rPr>
          <w:rFonts w:ascii="Arial" w:hAnsi="Arial" w:cs="Arial"/>
          <w:b/>
          <w:bCs/>
          <w:i/>
          <w:iCs/>
          <w:sz w:val="20"/>
          <w:szCs w:val="20"/>
        </w:rPr>
        <w:t>TUSCO</w:t>
      </w:r>
      <w:r w:rsidR="007A1CB2" w:rsidRPr="00DA70A9">
        <w:rPr>
          <w:rFonts w:ascii="Arial" w:hAnsi="Arial" w:cs="Arial"/>
          <w:b/>
          <w:bCs/>
          <w:i/>
          <w:iCs/>
          <w:sz w:val="20"/>
          <w:szCs w:val="20"/>
        </w:rPr>
        <w:t xml:space="preserve"> metrics calculation</w:t>
      </w:r>
    </w:p>
    <w:p w14:paraId="74BE325A" w14:textId="42FBF255" w:rsidR="003A2425" w:rsidRDefault="004034EC" w:rsidP="003A2425">
      <w:pPr>
        <w:spacing w:before="100" w:beforeAutospacing="1" w:after="100" w:afterAutospacing="1"/>
        <w:rPr>
          <w:rFonts w:ascii="Arial" w:eastAsia="Times New Roman" w:hAnsi="Arial" w:cs="Arial"/>
        </w:rPr>
      </w:pPr>
      <w:r w:rsidRPr="004034EC">
        <w:rPr>
          <w:rFonts w:ascii="Arial" w:eastAsia="Times New Roman" w:hAnsi="Arial" w:cs="Arial"/>
        </w:rPr>
        <w:t>We curated a single-isoform GTF reference (“TUSCO reference set”) comprising genes with no evidence of alternative splicing. Using the SQANTI3 classification file, we restricted evaluation to reconstructed transcripts that map to TUSCO genes, matched by the predominant identifier present in the classification (</w:t>
      </w:r>
      <w:proofErr w:type="spellStart"/>
      <w:r w:rsidRPr="004034EC">
        <w:rPr>
          <w:rFonts w:ascii="Arial" w:eastAsia="Times New Roman" w:hAnsi="Arial" w:cs="Arial"/>
        </w:rPr>
        <w:t>Ensembl</w:t>
      </w:r>
      <w:proofErr w:type="spellEnd"/>
      <w:r w:rsidRPr="004034EC">
        <w:rPr>
          <w:rFonts w:ascii="Arial" w:eastAsia="Times New Roman" w:hAnsi="Arial" w:cs="Arial"/>
        </w:rPr>
        <w:t xml:space="preserve">, </w:t>
      </w:r>
      <w:proofErr w:type="spellStart"/>
      <w:r w:rsidRPr="004034EC">
        <w:rPr>
          <w:rFonts w:ascii="Arial" w:eastAsia="Times New Roman" w:hAnsi="Arial" w:cs="Arial"/>
        </w:rPr>
        <w:t>RefSeq</w:t>
      </w:r>
      <w:proofErr w:type="spellEnd"/>
      <w:r w:rsidRPr="004034EC">
        <w:rPr>
          <w:rFonts w:ascii="Arial" w:eastAsia="Times New Roman" w:hAnsi="Arial" w:cs="Arial"/>
        </w:rPr>
        <w:t xml:space="preserve">, or gene symbol). We labeled as true positives (TP) those </w:t>
      </w:r>
      <w:proofErr w:type="spellStart"/>
      <w:r w:rsidRPr="004034EC">
        <w:rPr>
          <w:rFonts w:ascii="Arial" w:eastAsia="Times New Roman" w:hAnsi="Arial" w:cs="Arial"/>
        </w:rPr>
        <w:t>reference_match</w:t>
      </w:r>
      <w:proofErr w:type="spellEnd"/>
      <w:r w:rsidRPr="004034EC">
        <w:rPr>
          <w:rFonts w:ascii="Arial" w:eastAsia="Times New Roman" w:hAnsi="Arial" w:cs="Arial"/>
        </w:rPr>
        <w:t xml:space="preserve"> transcripts that reproduce the TUSCO exon-intron structure, including qualifying mono-exon calls when the reference has one exon and both TSS and TTS are within +/-50 bp; partial true positives (PTP) were full-</w:t>
      </w:r>
      <w:proofErr w:type="spellStart"/>
      <w:r w:rsidRPr="004034EC">
        <w:rPr>
          <w:rFonts w:ascii="Arial" w:eastAsia="Times New Roman" w:hAnsi="Arial" w:cs="Arial"/>
        </w:rPr>
        <w:t>splice_match</w:t>
      </w:r>
      <w:proofErr w:type="spellEnd"/>
      <w:r w:rsidRPr="004034EC">
        <w:rPr>
          <w:rFonts w:ascii="Arial" w:eastAsia="Times New Roman" w:hAnsi="Arial" w:cs="Arial"/>
        </w:rPr>
        <w:t xml:space="preserve"> or incomplete-</w:t>
      </w:r>
      <w:proofErr w:type="spellStart"/>
      <w:r w:rsidRPr="004034EC">
        <w:rPr>
          <w:rFonts w:ascii="Arial" w:eastAsia="Times New Roman" w:hAnsi="Arial" w:cs="Arial"/>
        </w:rPr>
        <w:t>splice_match</w:t>
      </w:r>
      <w:proofErr w:type="spellEnd"/>
      <w:r w:rsidRPr="004034EC">
        <w:rPr>
          <w:rFonts w:ascii="Arial" w:eastAsia="Times New Roman" w:hAnsi="Arial" w:cs="Arial"/>
        </w:rPr>
        <w:t xml:space="preserve"> transcripts that deviate at the 5' or 3' ends; false positives (FP) were transcripts within TUSCO genes labeled </w:t>
      </w:r>
      <w:proofErr w:type="spellStart"/>
      <w:r w:rsidRPr="004034EC">
        <w:rPr>
          <w:rFonts w:ascii="Arial" w:eastAsia="Times New Roman" w:hAnsi="Arial" w:cs="Arial"/>
        </w:rPr>
        <w:t>novel_in_catalog</w:t>
      </w:r>
      <w:proofErr w:type="spellEnd"/>
      <w:r w:rsidRPr="004034EC">
        <w:rPr>
          <w:rFonts w:ascii="Arial" w:eastAsia="Times New Roman" w:hAnsi="Arial" w:cs="Arial"/>
        </w:rPr>
        <w:t xml:space="preserve">, </w:t>
      </w:r>
      <w:proofErr w:type="spellStart"/>
      <w:r w:rsidRPr="004034EC">
        <w:rPr>
          <w:rFonts w:ascii="Arial" w:eastAsia="Times New Roman" w:hAnsi="Arial" w:cs="Arial"/>
        </w:rPr>
        <w:t>novel_not_in_catalog</w:t>
      </w:r>
      <w:proofErr w:type="spellEnd"/>
      <w:r w:rsidRPr="004034EC">
        <w:rPr>
          <w:rFonts w:ascii="Arial" w:eastAsia="Times New Roman" w:hAnsi="Arial" w:cs="Arial"/>
        </w:rPr>
        <w:t xml:space="preserve">, genic, or fusion; and false negatives (FN) were TUSCO genes with no observed transcript in any structural category. Let G be the number of TUSCO genes, N the number of observed transcripts mapping to TUSCO genes, TP the number of TP transcripts, PTP the number of PTP transcripts, FP the number of FP transcripts, </w:t>
      </w:r>
      <w:proofErr w:type="spellStart"/>
      <w:r w:rsidRPr="004034EC">
        <w:rPr>
          <w:rFonts w:ascii="Arial" w:eastAsia="Times New Roman" w:hAnsi="Arial" w:cs="Arial"/>
        </w:rPr>
        <w:t>TP_g</w:t>
      </w:r>
      <w:proofErr w:type="spellEnd"/>
      <w:r w:rsidRPr="004034EC">
        <w:rPr>
          <w:rFonts w:ascii="Arial" w:eastAsia="Times New Roman" w:hAnsi="Arial" w:cs="Arial"/>
        </w:rPr>
        <w:t xml:space="preserve"> the number of TUSCO genes with at least one TP transcript, D the number of TUSCO genes detected by either TP or PTP, and </w:t>
      </w:r>
      <w:proofErr w:type="spellStart"/>
      <w:r w:rsidRPr="004034EC">
        <w:rPr>
          <w:rFonts w:ascii="Arial" w:eastAsia="Times New Roman" w:hAnsi="Arial" w:cs="Arial"/>
        </w:rPr>
        <w:t>T_fsm+ism</w:t>
      </w:r>
      <w:proofErr w:type="spellEnd"/>
      <w:r w:rsidRPr="004034EC">
        <w:rPr>
          <w:rFonts w:ascii="Arial" w:eastAsia="Times New Roman" w:hAnsi="Arial" w:cs="Arial"/>
        </w:rPr>
        <w:t xml:space="preserve"> the total number of full-</w:t>
      </w:r>
      <w:proofErr w:type="spellStart"/>
      <w:r w:rsidRPr="004034EC">
        <w:rPr>
          <w:rFonts w:ascii="Arial" w:eastAsia="Times New Roman" w:hAnsi="Arial" w:cs="Arial"/>
        </w:rPr>
        <w:t>splice_match</w:t>
      </w:r>
      <w:proofErr w:type="spellEnd"/>
      <w:r w:rsidRPr="004034EC">
        <w:rPr>
          <w:rFonts w:ascii="Arial" w:eastAsia="Times New Roman" w:hAnsi="Arial" w:cs="Arial"/>
        </w:rPr>
        <w:t xml:space="preserve"> plus incomplete-</w:t>
      </w:r>
      <w:proofErr w:type="spellStart"/>
      <w:r w:rsidRPr="004034EC">
        <w:rPr>
          <w:rFonts w:ascii="Arial" w:eastAsia="Times New Roman" w:hAnsi="Arial" w:cs="Arial"/>
        </w:rPr>
        <w:t>splice_match</w:t>
      </w:r>
      <w:proofErr w:type="spellEnd"/>
      <w:r w:rsidRPr="004034EC">
        <w:rPr>
          <w:rFonts w:ascii="Arial" w:eastAsia="Times New Roman" w:hAnsi="Arial" w:cs="Arial"/>
        </w:rPr>
        <w:t xml:space="preserve"> transcripts. From these quantities we calculated: Sn = 100 * </w:t>
      </w:r>
      <w:proofErr w:type="spellStart"/>
      <w:r w:rsidRPr="004034EC">
        <w:rPr>
          <w:rFonts w:ascii="Arial" w:eastAsia="Times New Roman" w:hAnsi="Arial" w:cs="Arial"/>
        </w:rPr>
        <w:t>TP_g</w:t>
      </w:r>
      <w:proofErr w:type="spellEnd"/>
      <w:r w:rsidRPr="004034EC">
        <w:rPr>
          <w:rFonts w:ascii="Arial" w:eastAsia="Times New Roman" w:hAnsi="Arial" w:cs="Arial"/>
        </w:rPr>
        <w:t xml:space="preserve"> / G; </w:t>
      </w:r>
      <w:proofErr w:type="spellStart"/>
      <w:r w:rsidRPr="004034EC">
        <w:rPr>
          <w:rFonts w:ascii="Arial" w:eastAsia="Times New Roman" w:hAnsi="Arial" w:cs="Arial"/>
        </w:rPr>
        <w:t>nrPre</w:t>
      </w:r>
      <w:proofErr w:type="spellEnd"/>
      <w:r w:rsidRPr="004034EC">
        <w:rPr>
          <w:rFonts w:ascii="Arial" w:eastAsia="Times New Roman" w:hAnsi="Arial" w:cs="Arial"/>
        </w:rPr>
        <w:t xml:space="preserve"> = 100 * TP / N; </w:t>
      </w:r>
      <w:proofErr w:type="spellStart"/>
      <w:r w:rsidRPr="004034EC">
        <w:rPr>
          <w:rFonts w:ascii="Arial" w:eastAsia="Times New Roman" w:hAnsi="Arial" w:cs="Arial"/>
        </w:rPr>
        <w:t>rPre</w:t>
      </w:r>
      <w:proofErr w:type="spellEnd"/>
      <w:r w:rsidRPr="004034EC">
        <w:rPr>
          <w:rFonts w:ascii="Arial" w:eastAsia="Times New Roman" w:hAnsi="Arial" w:cs="Arial"/>
        </w:rPr>
        <w:t xml:space="preserve"> = 100 * (TP + PTP) / N; PDR = 100 * D / G; FDR = 100 * (N - TP) / N; </w:t>
      </w:r>
      <w:proofErr w:type="spellStart"/>
      <w:r w:rsidRPr="004034EC">
        <w:rPr>
          <w:rFonts w:ascii="Arial" w:eastAsia="Times New Roman" w:hAnsi="Arial" w:cs="Arial"/>
        </w:rPr>
        <w:t>FDeR</w:t>
      </w:r>
      <w:proofErr w:type="spellEnd"/>
      <w:r w:rsidRPr="004034EC">
        <w:rPr>
          <w:rFonts w:ascii="Arial" w:eastAsia="Times New Roman" w:hAnsi="Arial" w:cs="Arial"/>
        </w:rPr>
        <w:t xml:space="preserve"> = 100 * FP / N; redundancy = </w:t>
      </w:r>
      <w:proofErr w:type="spellStart"/>
      <w:r w:rsidRPr="004034EC">
        <w:rPr>
          <w:rFonts w:ascii="Arial" w:eastAsia="Times New Roman" w:hAnsi="Arial" w:cs="Arial"/>
        </w:rPr>
        <w:t>T_fsm+ism</w:t>
      </w:r>
      <w:proofErr w:type="spellEnd"/>
      <w:r w:rsidRPr="004034EC">
        <w:rPr>
          <w:rFonts w:ascii="Arial" w:eastAsia="Times New Roman" w:hAnsi="Arial" w:cs="Arial"/>
        </w:rPr>
        <w:t xml:space="preserve"> / D.</w:t>
      </w:r>
    </w:p>
    <w:p w14:paraId="2F074C7C" w14:textId="77777777" w:rsidR="00A40547" w:rsidRDefault="00A40547" w:rsidP="003A2425">
      <w:pPr>
        <w:spacing w:before="100" w:beforeAutospacing="1" w:after="100" w:afterAutospacing="1"/>
        <w:rPr>
          <w:rFonts w:ascii="Arial" w:eastAsia="Times New Roman" w:hAnsi="Arial" w:cs="Arial" w:hint="eastAsia"/>
        </w:rPr>
      </w:pPr>
    </w:p>
    <w:p w14:paraId="0F45C964" w14:textId="77777777" w:rsidR="00A40547" w:rsidRPr="00A40547" w:rsidRDefault="00A40547" w:rsidP="003A2425">
      <w:pPr>
        <w:spacing w:before="100" w:beforeAutospacing="1" w:after="100" w:afterAutospacing="1"/>
        <w:rPr>
          <w:rFonts w:ascii="Arial" w:eastAsia="Times New Roman" w:hAnsi="Arial" w:cs="Arial"/>
          <w:b/>
          <w:bCs/>
          <w:i/>
          <w:iCs/>
        </w:rPr>
      </w:pPr>
      <w:r w:rsidRPr="00A40547">
        <w:rPr>
          <w:rFonts w:ascii="Arial" w:eastAsia="Times New Roman" w:hAnsi="Arial" w:cs="Arial"/>
          <w:b/>
          <w:bCs/>
          <w:i/>
          <w:iCs/>
        </w:rPr>
        <w:t xml:space="preserve">Intersection mode across replicates. </w:t>
      </w:r>
    </w:p>
    <w:p w14:paraId="2FD19064" w14:textId="02305669" w:rsidR="00A40547" w:rsidRDefault="00A40547" w:rsidP="003A2425">
      <w:pPr>
        <w:spacing w:before="100" w:beforeAutospacing="1" w:after="100" w:afterAutospacing="1"/>
        <w:rPr>
          <w:rFonts w:ascii="Arial" w:eastAsia="Times New Roman" w:hAnsi="Arial" w:cs="Arial" w:hint="eastAsia"/>
        </w:rPr>
      </w:pPr>
      <w:r w:rsidRPr="00A40547">
        <w:rPr>
          <w:rFonts w:ascii="Arial" w:eastAsia="Times New Roman" w:hAnsi="Arial" w:cs="Arial"/>
        </w:rPr>
        <w:lastRenderedPageBreak/>
        <w:t xml:space="preserve">For replicate analyses, we computed TUSCO metrics on a k-way intersection call set that retains only transcript structures reconstructed in </w:t>
      </w:r>
      <w:proofErr w:type="gramStart"/>
      <w:r w:rsidRPr="00A40547">
        <w:rPr>
          <w:rFonts w:ascii="Arial" w:eastAsia="Times New Roman" w:hAnsi="Arial" w:cs="Arial"/>
        </w:rPr>
        <w:t>all of</w:t>
      </w:r>
      <w:proofErr w:type="gramEnd"/>
      <w:r w:rsidRPr="00A40547">
        <w:rPr>
          <w:rFonts w:ascii="Arial" w:eastAsia="Times New Roman" w:hAnsi="Arial" w:cs="Arial"/>
        </w:rPr>
        <w:t xml:space="preserve"> the k selected replicates. Within each replicate, SQANTI3-classified transcripts were first assigned to TUSCO genes and collapsed by structure (identical junction chain; TSS/TTS considered equivalent within ±50 bp). A structure entered the intersection if an equivalent collapsed transcript appeared in every replicate;</w:t>
      </w:r>
      <w:r w:rsidRPr="00A40547">
        <w:rPr>
          <w:rFonts w:ascii="Arial" w:eastAsia="Times New Roman" w:hAnsi="Arial" w:cs="Arial" w:hint="eastAsia"/>
        </w:rPr>
        <w:t xml:space="preserve"> one representative was then chosen by (</w:t>
      </w:r>
      <w:proofErr w:type="spellStart"/>
      <w:r w:rsidRPr="00A40547">
        <w:rPr>
          <w:rFonts w:ascii="Arial" w:eastAsia="Times New Roman" w:hAnsi="Arial" w:cs="Arial" w:hint="eastAsia"/>
        </w:rPr>
        <w:t>i</w:t>
      </w:r>
      <w:proofErr w:type="spellEnd"/>
      <w:r w:rsidRPr="00A40547">
        <w:rPr>
          <w:rFonts w:ascii="Arial" w:eastAsia="Times New Roman" w:hAnsi="Arial" w:cs="Arial" w:hint="eastAsia"/>
        </w:rPr>
        <w:t xml:space="preserve">) minimum summed 5′/3′ end deviation from the TUSCO model, (ii) higher read support, (iii) longer length. Correctness labels (TP, PTP, FP) and all downstream metrics (Sn, </w:t>
      </w:r>
      <w:proofErr w:type="spellStart"/>
      <w:r w:rsidRPr="00A40547">
        <w:rPr>
          <w:rFonts w:ascii="Arial" w:eastAsia="Times New Roman" w:hAnsi="Arial" w:cs="Arial" w:hint="eastAsia"/>
        </w:rPr>
        <w:t>nrPre</w:t>
      </w:r>
      <w:proofErr w:type="spellEnd"/>
      <w:r w:rsidRPr="00A40547">
        <w:rPr>
          <w:rFonts w:ascii="Arial" w:eastAsia="Times New Roman" w:hAnsi="Arial" w:cs="Arial" w:hint="eastAsia"/>
        </w:rPr>
        <w:t xml:space="preserve">, </w:t>
      </w:r>
      <w:proofErr w:type="spellStart"/>
      <w:r w:rsidRPr="00A40547">
        <w:rPr>
          <w:rFonts w:ascii="Arial" w:eastAsia="Times New Roman" w:hAnsi="Arial" w:cs="Arial" w:hint="eastAsia"/>
        </w:rPr>
        <w:t>rPre</w:t>
      </w:r>
      <w:proofErr w:type="spellEnd"/>
      <w:r w:rsidRPr="00A40547">
        <w:rPr>
          <w:rFonts w:ascii="Arial" w:eastAsia="Times New Roman" w:hAnsi="Arial" w:cs="Arial" w:hint="eastAsia"/>
        </w:rPr>
        <w:t xml:space="preserve">, PDR, FDR, </w:t>
      </w:r>
      <w:proofErr w:type="spellStart"/>
      <w:r w:rsidRPr="00A40547">
        <w:rPr>
          <w:rFonts w:ascii="Arial" w:eastAsia="Times New Roman" w:hAnsi="Arial" w:cs="Arial" w:hint="eastAsia"/>
        </w:rPr>
        <w:t>FDeR</w:t>
      </w:r>
      <w:proofErr w:type="spellEnd"/>
      <w:r w:rsidRPr="00A40547">
        <w:rPr>
          <w:rFonts w:ascii="Arial" w:eastAsia="Times New Roman" w:hAnsi="Arial" w:cs="Arial" w:hint="eastAsia"/>
        </w:rPr>
        <w:t>, redundancy) wer</w:t>
      </w:r>
      <w:r w:rsidRPr="00A40547">
        <w:rPr>
          <w:rFonts w:ascii="Arial" w:eastAsia="Times New Roman" w:hAnsi="Arial" w:cs="Arial"/>
        </w:rPr>
        <w:t>e computed exclusively on this intersection set; FN were TUSCO genes lacking TP or PTP in the intersection. This conservative strategy emphasizes reproducibility, sharply reducing spurious calls while preserving consistently detected transcripts.</w:t>
      </w:r>
    </w:p>
    <w:p w14:paraId="4202F37F" w14:textId="77777777" w:rsidR="003A2425" w:rsidRDefault="003A2425" w:rsidP="003A2425">
      <w:pPr>
        <w:spacing w:before="100" w:beforeAutospacing="1" w:after="100" w:afterAutospacing="1"/>
        <w:rPr>
          <w:rFonts w:ascii="Arial" w:eastAsia="Times New Roman" w:hAnsi="Arial" w:cs="Arial"/>
        </w:rPr>
      </w:pPr>
    </w:p>
    <w:p w14:paraId="0FC70DCD" w14:textId="3F9E9690" w:rsidR="005215CB" w:rsidRPr="00DA70A9" w:rsidRDefault="0094453E" w:rsidP="003A2425">
      <w:pPr>
        <w:spacing w:before="100" w:beforeAutospacing="1" w:after="100" w:afterAutospacing="1"/>
        <w:rPr>
          <w:rFonts w:ascii="Arial" w:hAnsi="Arial" w:cs="Arial"/>
          <w:b/>
          <w:bCs/>
          <w:i/>
          <w:iCs/>
        </w:rPr>
      </w:pPr>
      <w:r w:rsidRPr="00DA70A9">
        <w:rPr>
          <w:rFonts w:ascii="Arial" w:hAnsi="Arial" w:cs="Arial"/>
          <w:b/>
          <w:bCs/>
          <w:i/>
          <w:iCs/>
        </w:rPr>
        <w:t>Data availability and code availability</w:t>
      </w:r>
    </w:p>
    <w:p w14:paraId="43D4DD5B" w14:textId="77777777" w:rsidR="00892CA1" w:rsidRDefault="03510BD6" w:rsidP="006C7777">
      <w:pPr>
        <w:spacing w:before="100" w:beforeAutospacing="1" w:after="100" w:afterAutospacing="1"/>
        <w:rPr>
          <w:rFonts w:ascii="Arial" w:eastAsia="Times New Roman" w:hAnsi="Arial" w:cs="Arial"/>
        </w:rPr>
      </w:pPr>
      <w:r w:rsidRPr="00DA70A9">
        <w:rPr>
          <w:rFonts w:ascii="Arial" w:eastAsia="Times New Roman" w:hAnsi="Arial" w:cs="Arial"/>
        </w:rPr>
        <w:t xml:space="preserve">Publicly available long-read RNA-seq datasets used in this study include the LRGASP data for human WTC11 iPSC and mouse ES cells, accessible at the Synapse repository under Synapse: syn25007472/wiki/608702. The RNA degradation datasets are deposited at the European Nucleotide Archive (ENA) under accession PRJEB53210, with supplementary FASTQ data for post-mortem brain samples available from the European Genome-Phenome Archive (EGA) under accession EGAS00001006542. </w:t>
      </w:r>
      <w:r w:rsidR="00892CA1" w:rsidRPr="00892CA1">
        <w:rPr>
          <w:rFonts w:ascii="Arial" w:eastAsia="Times New Roman" w:hAnsi="Arial" w:cs="Arial"/>
        </w:rPr>
        <w:t xml:space="preserve">The Replicated Mouse Brain and Kidney dataset, generated in-house, has been submitted in its entirety to the ENA under accession PRJEB94912 (secondary accession ERP177675, “Sequencing of mice kidneys using </w:t>
      </w:r>
      <w:proofErr w:type="spellStart"/>
      <w:r w:rsidR="00892CA1" w:rsidRPr="00892CA1">
        <w:rPr>
          <w:rFonts w:ascii="Arial" w:eastAsia="Times New Roman" w:hAnsi="Arial" w:cs="Arial"/>
        </w:rPr>
        <w:t>IsoSeq</w:t>
      </w:r>
      <w:proofErr w:type="spellEnd"/>
      <w:r w:rsidR="00892CA1" w:rsidRPr="00892CA1">
        <w:rPr>
          <w:rFonts w:ascii="Arial" w:eastAsia="Times New Roman" w:hAnsi="Arial" w:cs="Arial"/>
        </w:rPr>
        <w:t>”). The dataset will be released publicly upon publication.</w:t>
      </w:r>
    </w:p>
    <w:p w14:paraId="169E0CE2" w14:textId="16A49AD7" w:rsidR="005F200E" w:rsidRDefault="00054A89" w:rsidP="006C7777">
      <w:pPr>
        <w:spacing w:before="100" w:beforeAutospacing="1" w:after="100" w:afterAutospacing="1"/>
        <w:rPr>
          <w:rFonts w:ascii="Arial" w:eastAsia="Times New Roman" w:hAnsi="Arial" w:cs="Arial"/>
        </w:rPr>
      </w:pPr>
      <w:r w:rsidRPr="00DA70A9">
        <w:rPr>
          <w:rFonts w:ascii="Arial" w:eastAsia="Times New Roman" w:hAnsi="Arial" w:cs="Arial"/>
        </w:rPr>
        <w:t xml:space="preserve">For benchmarking, the universal and tissue-specific </w:t>
      </w:r>
      <w:r w:rsidR="00D80113" w:rsidRPr="00DA70A9">
        <w:rPr>
          <w:rFonts w:ascii="Arial" w:eastAsia="Times New Roman" w:hAnsi="Arial" w:cs="Arial"/>
        </w:rPr>
        <w:t>TUSCO</w:t>
      </w:r>
      <w:r w:rsidRPr="00DA70A9">
        <w:rPr>
          <w:rFonts w:ascii="Arial" w:eastAsia="Times New Roman" w:hAnsi="Arial" w:cs="Arial"/>
        </w:rPr>
        <w:t xml:space="preserve"> gene sets for human, and mouse can be freely obtained at https://github.com/ConesaLab/SQANTI3 and at the dedicated </w:t>
      </w:r>
      <w:r w:rsidR="00D80113" w:rsidRPr="00DA70A9">
        <w:rPr>
          <w:rFonts w:ascii="Arial" w:eastAsia="Times New Roman" w:hAnsi="Arial" w:cs="Arial"/>
        </w:rPr>
        <w:t>TUSCO</w:t>
      </w:r>
      <w:r w:rsidRPr="00DA70A9">
        <w:rPr>
          <w:rFonts w:ascii="Arial" w:eastAsia="Times New Roman" w:hAnsi="Arial" w:cs="Arial"/>
        </w:rPr>
        <w:t xml:space="preserve"> portal </w:t>
      </w:r>
      <w:hyperlink r:id="rId17" w:history="1">
        <w:r w:rsidR="005F200E" w:rsidRPr="00DA70A9">
          <w:rPr>
            <w:rStyle w:val="Hyperlink"/>
            <w:rFonts w:ascii="Arial" w:eastAsia="Times New Roman" w:hAnsi="Arial" w:cs="Arial"/>
          </w:rPr>
          <w:t>https://TUSCO.uv.es</w:t>
        </w:r>
      </w:hyperlink>
      <w:r w:rsidRPr="00DA70A9">
        <w:rPr>
          <w:rFonts w:ascii="Arial" w:eastAsia="Times New Roman" w:hAnsi="Arial" w:cs="Arial"/>
        </w:rPr>
        <w:t>.</w:t>
      </w:r>
    </w:p>
    <w:p w14:paraId="7FC58571" w14:textId="20F515C1" w:rsidR="00892FE5" w:rsidRDefault="00892FE5" w:rsidP="006C7777">
      <w:pPr>
        <w:spacing w:before="100" w:beforeAutospacing="1" w:after="100" w:afterAutospacing="1"/>
        <w:rPr>
          <w:rFonts w:ascii="Arial" w:eastAsia="Times New Roman" w:hAnsi="Arial" w:cs="Arial"/>
        </w:rPr>
      </w:pPr>
      <w:r w:rsidRPr="00892FE5">
        <w:rPr>
          <w:rFonts w:ascii="Arial" w:eastAsia="Times New Roman" w:hAnsi="Arial" w:cs="Arial"/>
        </w:rPr>
        <w:t xml:space="preserve">All scripts used to generate the figures in this study and to implement the TUSCO gene selector are available at </w:t>
      </w:r>
      <w:hyperlink r:id="rId18" w:history="1">
        <w:r w:rsidR="00257428" w:rsidRPr="000F44F4">
          <w:rPr>
            <w:rStyle w:val="Hyperlink"/>
            <w:rFonts w:ascii="Arial" w:eastAsia="Times New Roman" w:hAnsi="Arial" w:cs="Arial"/>
          </w:rPr>
          <w:t>https://github.com/TianYuan-Liu/tusco-paper</w:t>
        </w:r>
      </w:hyperlink>
      <w:r>
        <w:rPr>
          <w:rFonts w:ascii="Arial" w:eastAsia="Times New Roman" w:hAnsi="Arial" w:cs="Arial"/>
        </w:rPr>
        <w:t>.</w:t>
      </w:r>
    </w:p>
    <w:p w14:paraId="119397B8" w14:textId="77777777" w:rsidR="00257428" w:rsidRPr="00DA70A9" w:rsidRDefault="00257428" w:rsidP="006C7777">
      <w:pPr>
        <w:spacing w:before="100" w:beforeAutospacing="1" w:after="100" w:afterAutospacing="1"/>
        <w:rPr>
          <w:rFonts w:ascii="Arial" w:eastAsia="Times New Roman" w:hAnsi="Arial" w:cs="Arial"/>
        </w:rPr>
      </w:pPr>
    </w:p>
    <w:p w14:paraId="60BF3511" w14:textId="5FD03B9A" w:rsidR="001A0300" w:rsidRPr="00DA70A9" w:rsidRDefault="002C56AD" w:rsidP="006C7777">
      <w:pPr>
        <w:spacing w:before="100" w:beforeAutospacing="1" w:after="100" w:afterAutospacing="1"/>
        <w:rPr>
          <w:rFonts w:ascii="Arial" w:hAnsi="Arial" w:cs="Arial"/>
          <w:b/>
          <w:bCs/>
        </w:rPr>
      </w:pPr>
      <w:r w:rsidRPr="00DA70A9">
        <w:rPr>
          <w:rFonts w:ascii="Arial" w:hAnsi="Arial" w:cs="Arial"/>
          <w:b/>
          <w:bCs/>
        </w:rPr>
        <w:t>Supplementa</w:t>
      </w:r>
      <w:r w:rsidR="001A0300" w:rsidRPr="00DA70A9">
        <w:rPr>
          <w:rFonts w:ascii="Arial" w:hAnsi="Arial" w:cs="Arial"/>
          <w:b/>
          <w:bCs/>
        </w:rPr>
        <w:t>ry Figure</w:t>
      </w:r>
    </w:p>
    <w:p w14:paraId="48A6EEDA" w14:textId="16867E1D" w:rsidR="00CF4B27" w:rsidRPr="00DA70A9" w:rsidRDefault="000673B1" w:rsidP="006C7777">
      <w:pPr>
        <w:spacing w:before="100" w:beforeAutospacing="1" w:after="100" w:afterAutospacing="1"/>
        <w:rPr>
          <w:rFonts w:ascii="Arial" w:hAnsi="Arial" w:cs="Arial"/>
          <w:b/>
          <w:bCs/>
        </w:rPr>
      </w:pPr>
      <w:r w:rsidRPr="00DA70A9">
        <w:rPr>
          <w:rFonts w:ascii="Arial" w:hAnsi="Arial" w:cs="Arial"/>
          <w:b/>
          <w:bCs/>
          <w:noProof/>
        </w:rPr>
        <w:lastRenderedPageBreak/>
        <w:drawing>
          <wp:inline distT="0" distB="0" distL="0" distR="0" wp14:anchorId="40A0C9B2" wp14:editId="0BC5E728">
            <wp:extent cx="5943600" cy="6301740"/>
            <wp:effectExtent l="0" t="0" r="0" b="0"/>
            <wp:docPr id="1445926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26464" name="Picture 1445926464"/>
                    <pic:cNvPicPr/>
                  </pic:nvPicPr>
                  <pic:blipFill>
                    <a:blip r:embed="rId19"/>
                    <a:stretch>
                      <a:fillRect/>
                    </a:stretch>
                  </pic:blipFill>
                  <pic:spPr>
                    <a:xfrm>
                      <a:off x="0" y="0"/>
                      <a:ext cx="5943600" cy="6301740"/>
                    </a:xfrm>
                    <a:prstGeom prst="rect">
                      <a:avLst/>
                    </a:prstGeom>
                  </pic:spPr>
                </pic:pic>
              </a:graphicData>
            </a:graphic>
          </wp:inline>
        </w:drawing>
      </w:r>
    </w:p>
    <w:p w14:paraId="625ECC4E" w14:textId="72C9CFAB" w:rsidR="007E0041" w:rsidRPr="00DA70A9" w:rsidRDefault="0034086D" w:rsidP="006C7777">
      <w:pPr>
        <w:spacing w:before="100" w:beforeAutospacing="1" w:after="100" w:afterAutospacing="1"/>
        <w:rPr>
          <w:rFonts w:ascii="Arial" w:eastAsia="Times New Roman" w:hAnsi="Arial" w:cs="Arial"/>
        </w:rPr>
      </w:pPr>
      <w:r w:rsidRPr="00DA70A9">
        <w:rPr>
          <w:rFonts w:ascii="Arial" w:eastAsia="Times New Roman" w:hAnsi="Arial" w:cs="Arial"/>
          <w:b/>
          <w:bCs/>
        </w:rPr>
        <w:t>Figure S1</w:t>
      </w:r>
      <w:r w:rsidR="00685EB2" w:rsidRPr="00DA70A9">
        <w:rPr>
          <w:rFonts w:ascii="Arial" w:eastAsia="Times New Roman" w:hAnsi="Arial" w:cs="Arial"/>
          <w:b/>
          <w:bCs/>
        </w:rPr>
        <w:t xml:space="preserve">: </w:t>
      </w:r>
      <w:r w:rsidRPr="00DA70A9">
        <w:rPr>
          <w:rFonts w:ascii="Arial" w:eastAsia="Times New Roman" w:hAnsi="Arial" w:cs="Arial"/>
          <w:b/>
          <w:bCs/>
        </w:rPr>
        <w:t xml:space="preserve">Comparative analysis of transcript features in </w:t>
      </w:r>
      <w:r w:rsidR="00D80113" w:rsidRPr="00DA70A9">
        <w:rPr>
          <w:rFonts w:ascii="Arial" w:eastAsia="Times New Roman" w:hAnsi="Arial" w:cs="Arial"/>
          <w:b/>
          <w:bCs/>
        </w:rPr>
        <w:t>TUSCO</w:t>
      </w:r>
      <w:r w:rsidRPr="00DA70A9">
        <w:rPr>
          <w:rFonts w:ascii="Arial" w:eastAsia="Times New Roman" w:hAnsi="Arial" w:cs="Arial"/>
          <w:b/>
          <w:bCs/>
        </w:rPr>
        <w:t xml:space="preserve"> versus reference annotations for human and mouse.</w:t>
      </w:r>
      <w:r w:rsidRPr="00DA70A9">
        <w:rPr>
          <w:rFonts w:ascii="Arial" w:eastAsia="Times New Roman" w:hAnsi="Arial" w:cs="Arial"/>
        </w:rPr>
        <w:t xml:space="preserve"> (</w:t>
      </w:r>
      <w:proofErr w:type="spellStart"/>
      <w:proofErr w:type="gramStart"/>
      <w:r w:rsidRPr="00DA70A9">
        <w:rPr>
          <w:rFonts w:ascii="Arial" w:eastAsia="Times New Roman" w:hAnsi="Arial" w:cs="Arial"/>
        </w:rPr>
        <w:t>a,b</w:t>
      </w:r>
      <w:proofErr w:type="spellEnd"/>
      <w:proofErr w:type="gramEnd"/>
      <w:r w:rsidRPr="00DA70A9">
        <w:rPr>
          <w:rFonts w:ascii="Arial" w:eastAsia="Times New Roman" w:hAnsi="Arial" w:cs="Arial"/>
        </w:rPr>
        <w:t xml:space="preserve">) Density plots of transcript lengths (log10 scale) in human (a) and mouse (b) show the distribution of </w:t>
      </w:r>
      <w:r w:rsidR="00D80113" w:rsidRPr="00DA70A9">
        <w:rPr>
          <w:rFonts w:ascii="Arial" w:eastAsia="Times New Roman" w:hAnsi="Arial" w:cs="Arial"/>
        </w:rPr>
        <w:t>TUSCO</w:t>
      </w:r>
      <w:r w:rsidRPr="00DA70A9">
        <w:rPr>
          <w:rFonts w:ascii="Arial" w:eastAsia="Times New Roman" w:hAnsi="Arial" w:cs="Arial"/>
        </w:rPr>
        <w:t xml:space="preserve"> transcripts (light green in human, darker green in mouse) relative to </w:t>
      </w:r>
      <w:proofErr w:type="spellStart"/>
      <w:r w:rsidRPr="00DA70A9">
        <w:rPr>
          <w:rFonts w:ascii="Arial" w:eastAsia="Times New Roman" w:hAnsi="Arial" w:cs="Arial"/>
        </w:rPr>
        <w:t>RefSeq</w:t>
      </w:r>
      <w:proofErr w:type="spellEnd"/>
      <w:r w:rsidRPr="00DA70A9">
        <w:rPr>
          <w:rFonts w:ascii="Arial" w:eastAsia="Times New Roman" w:hAnsi="Arial" w:cs="Arial"/>
        </w:rPr>
        <w:t xml:space="preserve"> (golden brown in human, dark brown in mouse), GENCODE (light orange in human, darker orange in mouse), and MANE (red, human only). In both species, </w:t>
      </w:r>
      <w:r w:rsidR="00D80113" w:rsidRPr="00DA70A9">
        <w:rPr>
          <w:rFonts w:ascii="Arial" w:eastAsia="Times New Roman" w:hAnsi="Arial" w:cs="Arial"/>
        </w:rPr>
        <w:t>TUSCO</w:t>
      </w:r>
      <w:r w:rsidRPr="00DA70A9">
        <w:rPr>
          <w:rFonts w:ascii="Arial" w:eastAsia="Times New Roman" w:hAnsi="Arial" w:cs="Arial"/>
        </w:rPr>
        <w:t xml:space="preserve"> transcripts tend to have length profiles comparable to or slightly longer than major annotation sets. (</w:t>
      </w:r>
      <w:proofErr w:type="spellStart"/>
      <w:proofErr w:type="gramStart"/>
      <w:r w:rsidRPr="00DA70A9">
        <w:rPr>
          <w:rFonts w:ascii="Arial" w:eastAsia="Times New Roman" w:hAnsi="Arial" w:cs="Arial"/>
        </w:rPr>
        <w:t>c,d</w:t>
      </w:r>
      <w:proofErr w:type="spellEnd"/>
      <w:proofErr w:type="gramEnd"/>
      <w:r w:rsidRPr="00DA70A9">
        <w:rPr>
          <w:rFonts w:ascii="Arial" w:eastAsia="Times New Roman" w:hAnsi="Arial" w:cs="Arial"/>
        </w:rPr>
        <w:t xml:space="preserve">) Frequency histograms of exon </w:t>
      </w:r>
      <w:r w:rsidR="00F82AFC" w:rsidRPr="00DA70A9">
        <w:rPr>
          <w:rFonts w:ascii="Arial" w:eastAsia="Times New Roman" w:hAnsi="Arial" w:cs="Arial"/>
        </w:rPr>
        <w:t>count</w:t>
      </w:r>
      <w:r w:rsidRPr="00DA70A9">
        <w:rPr>
          <w:rFonts w:ascii="Arial" w:eastAsia="Times New Roman" w:hAnsi="Arial" w:cs="Arial"/>
        </w:rPr>
        <w:t xml:space="preserve"> per transcript in human (c) and mouse (d), using the same color scheme: </w:t>
      </w:r>
      <w:r w:rsidR="00D80113" w:rsidRPr="00DA70A9">
        <w:rPr>
          <w:rFonts w:ascii="Arial" w:eastAsia="Times New Roman" w:hAnsi="Arial" w:cs="Arial"/>
        </w:rPr>
        <w:t>TUSCO</w:t>
      </w:r>
      <w:r w:rsidRPr="00DA70A9">
        <w:rPr>
          <w:rFonts w:ascii="Arial" w:eastAsia="Times New Roman" w:hAnsi="Arial" w:cs="Arial"/>
        </w:rPr>
        <w:t xml:space="preserve"> (light/darker green), </w:t>
      </w:r>
      <w:proofErr w:type="spellStart"/>
      <w:r w:rsidRPr="00DA70A9">
        <w:rPr>
          <w:rFonts w:ascii="Arial" w:eastAsia="Times New Roman" w:hAnsi="Arial" w:cs="Arial"/>
        </w:rPr>
        <w:t>RefSeq</w:t>
      </w:r>
      <w:proofErr w:type="spellEnd"/>
      <w:r w:rsidRPr="00DA70A9">
        <w:rPr>
          <w:rFonts w:ascii="Arial" w:eastAsia="Times New Roman" w:hAnsi="Arial" w:cs="Arial"/>
        </w:rPr>
        <w:t xml:space="preserve"> (golden/dark brown), GENCODE (light/darker orange), and MANE (red, human only). Although </w:t>
      </w:r>
      <w:r w:rsidR="00D80113" w:rsidRPr="00DA70A9">
        <w:rPr>
          <w:rFonts w:ascii="Arial" w:eastAsia="Times New Roman" w:hAnsi="Arial" w:cs="Arial"/>
        </w:rPr>
        <w:t>TUSCO</w:t>
      </w:r>
      <w:r w:rsidRPr="00DA70A9">
        <w:rPr>
          <w:rFonts w:ascii="Arial" w:eastAsia="Times New Roman" w:hAnsi="Arial" w:cs="Arial"/>
        </w:rPr>
        <w:t xml:space="preserve"> is enriched for single-exon genes, it also includes multi-exon transcripts spanning a broad exon count range. (</w:t>
      </w:r>
      <w:proofErr w:type="spellStart"/>
      <w:proofErr w:type="gramStart"/>
      <w:r w:rsidRPr="00DA70A9">
        <w:rPr>
          <w:rFonts w:ascii="Arial" w:eastAsia="Times New Roman" w:hAnsi="Arial" w:cs="Arial"/>
        </w:rPr>
        <w:t>e,f</w:t>
      </w:r>
      <w:proofErr w:type="spellEnd"/>
      <w:proofErr w:type="gramEnd"/>
      <w:r w:rsidRPr="00DA70A9">
        <w:rPr>
          <w:rFonts w:ascii="Arial" w:eastAsia="Times New Roman" w:hAnsi="Arial" w:cs="Arial"/>
        </w:rPr>
        <w:t xml:space="preserve">) Density plots of intron lengths (log10 scale) for human (e) and mouse (f) similarly demonstrate that </w:t>
      </w:r>
      <w:r w:rsidR="00D80113" w:rsidRPr="00DA70A9">
        <w:rPr>
          <w:rFonts w:ascii="Arial" w:eastAsia="Times New Roman" w:hAnsi="Arial" w:cs="Arial"/>
        </w:rPr>
        <w:lastRenderedPageBreak/>
        <w:t>TUSCO</w:t>
      </w:r>
      <w:r w:rsidRPr="00DA70A9">
        <w:rPr>
          <w:rFonts w:ascii="Arial" w:eastAsia="Times New Roman" w:hAnsi="Arial" w:cs="Arial"/>
        </w:rPr>
        <w:t xml:space="preserve"> (light/darker green) largely overlaps with </w:t>
      </w:r>
      <w:proofErr w:type="spellStart"/>
      <w:r w:rsidRPr="00DA70A9">
        <w:rPr>
          <w:rFonts w:ascii="Arial" w:eastAsia="Times New Roman" w:hAnsi="Arial" w:cs="Arial"/>
        </w:rPr>
        <w:t>RefSeq</w:t>
      </w:r>
      <w:proofErr w:type="spellEnd"/>
      <w:r w:rsidRPr="00DA70A9">
        <w:rPr>
          <w:rFonts w:ascii="Arial" w:eastAsia="Times New Roman" w:hAnsi="Arial" w:cs="Arial"/>
        </w:rPr>
        <w:t xml:space="preserve">, GENCODE, and MANE in intron architecture. Collectively, these comparisons confirm that </w:t>
      </w:r>
      <w:r w:rsidR="00D80113" w:rsidRPr="00DA70A9">
        <w:rPr>
          <w:rFonts w:ascii="Arial" w:eastAsia="Times New Roman" w:hAnsi="Arial" w:cs="Arial"/>
        </w:rPr>
        <w:t>TUSCO</w:t>
      </w:r>
      <w:r w:rsidRPr="00DA70A9">
        <w:rPr>
          <w:rFonts w:ascii="Arial" w:eastAsia="Times New Roman" w:hAnsi="Arial" w:cs="Arial"/>
        </w:rPr>
        <w:t xml:space="preserve"> transcripts overlap with naturally occurring size ranges and gene structures found in standard reference annotations, making </w:t>
      </w:r>
      <w:r w:rsidR="00D80113" w:rsidRPr="00DA70A9">
        <w:rPr>
          <w:rFonts w:ascii="Arial" w:eastAsia="Times New Roman" w:hAnsi="Arial" w:cs="Arial"/>
        </w:rPr>
        <w:t>TUSCO</w:t>
      </w:r>
      <w:r w:rsidRPr="00DA70A9">
        <w:rPr>
          <w:rFonts w:ascii="Arial" w:eastAsia="Times New Roman" w:hAnsi="Arial" w:cs="Arial"/>
        </w:rPr>
        <w:t xml:space="preserve"> an internally consistent benchmark for long-read transcriptomic quality assessments.</w:t>
      </w:r>
    </w:p>
    <w:p w14:paraId="677FE0D9" w14:textId="77777777" w:rsidR="00B100DD" w:rsidRPr="00DA70A9" w:rsidRDefault="00B100DD" w:rsidP="006C7777">
      <w:pPr>
        <w:spacing w:before="100" w:beforeAutospacing="1" w:after="100" w:afterAutospacing="1"/>
        <w:rPr>
          <w:rFonts w:ascii="Arial" w:eastAsia="Times New Roman" w:hAnsi="Arial" w:cs="Arial"/>
        </w:rPr>
      </w:pPr>
    </w:p>
    <w:p w14:paraId="6BE1371F" w14:textId="04108AA5" w:rsidR="00764E52" w:rsidRPr="00DA70A9" w:rsidRDefault="00B100DD" w:rsidP="006C7777">
      <w:pPr>
        <w:spacing w:before="100" w:beforeAutospacing="1" w:after="100" w:afterAutospacing="1"/>
        <w:rPr>
          <w:rFonts w:ascii="Arial" w:eastAsia="Times New Roman" w:hAnsi="Arial" w:cs="Arial"/>
        </w:rPr>
      </w:pPr>
      <w:r w:rsidRPr="00DA70A9">
        <w:rPr>
          <w:rFonts w:ascii="Arial" w:eastAsia="Times New Roman" w:hAnsi="Arial" w:cs="Arial"/>
          <w:noProof/>
        </w:rPr>
        <w:drawing>
          <wp:inline distT="0" distB="0" distL="0" distR="0" wp14:anchorId="09A39BDC" wp14:editId="4C61EC16">
            <wp:extent cx="3581400" cy="2057400"/>
            <wp:effectExtent l="0" t="0" r="0" b="0"/>
            <wp:docPr id="294491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1103" name="Picture 2944911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1400" cy="2057400"/>
                    </a:xfrm>
                    <a:prstGeom prst="rect">
                      <a:avLst/>
                    </a:prstGeom>
                  </pic:spPr>
                </pic:pic>
              </a:graphicData>
            </a:graphic>
          </wp:inline>
        </w:drawing>
      </w:r>
    </w:p>
    <w:p w14:paraId="7EB8A19C" w14:textId="349BBAEC" w:rsidR="00D61240" w:rsidRPr="00DA70A9" w:rsidRDefault="007E2898" w:rsidP="006C7777">
      <w:pPr>
        <w:spacing w:before="100" w:beforeAutospacing="1" w:after="100" w:afterAutospacing="1"/>
        <w:rPr>
          <w:rFonts w:ascii="Arial" w:eastAsia="Times New Roman" w:hAnsi="Arial" w:cs="Arial"/>
        </w:rPr>
      </w:pPr>
      <w:r w:rsidRPr="00DA70A9">
        <w:rPr>
          <w:rFonts w:ascii="Arial" w:eastAsia="Times New Roman" w:hAnsi="Arial" w:cs="Arial"/>
          <w:b/>
          <w:bCs/>
        </w:rPr>
        <w:t>Figure S2</w:t>
      </w:r>
      <w:r w:rsidR="00D61240" w:rsidRPr="00DA70A9">
        <w:rPr>
          <w:rFonts w:ascii="Arial" w:eastAsia="Times New Roman" w:hAnsi="Arial" w:cs="Arial"/>
          <w:b/>
          <w:bCs/>
        </w:rPr>
        <w:t xml:space="preserve"> | TUSCO genes are highly expressed and display minimal</w:t>
      </w:r>
      <w:r w:rsidR="00A940E4" w:rsidRPr="00DA70A9">
        <w:rPr>
          <w:rFonts w:ascii="Arial" w:eastAsia="Times New Roman" w:hAnsi="Arial" w:cs="Arial"/>
          <w:b/>
          <w:bCs/>
        </w:rPr>
        <w:t xml:space="preserve"> novel</w:t>
      </w:r>
      <w:r w:rsidR="00D61240" w:rsidRPr="00DA70A9">
        <w:rPr>
          <w:rFonts w:ascii="Arial" w:eastAsia="Times New Roman" w:hAnsi="Arial" w:cs="Arial"/>
          <w:b/>
          <w:bCs/>
        </w:rPr>
        <w:t xml:space="preserve"> splicing signal.</w:t>
      </w:r>
      <w:r w:rsidR="00D61240" w:rsidRPr="00DA70A9">
        <w:rPr>
          <w:rFonts w:ascii="Arial" w:eastAsia="Times New Roman" w:hAnsi="Arial" w:cs="Arial"/>
        </w:rPr>
        <w:t xml:space="preserve"> Violin–box plots compare </w:t>
      </w:r>
      <w:proofErr w:type="spellStart"/>
      <w:r w:rsidR="00D61240" w:rsidRPr="00DA70A9">
        <w:rPr>
          <w:rFonts w:ascii="Arial" w:eastAsia="Times New Roman" w:hAnsi="Arial" w:cs="Arial"/>
        </w:rPr>
        <w:t>AlphaGenome</w:t>
      </w:r>
      <w:proofErr w:type="spellEnd"/>
      <w:r w:rsidR="00D61240" w:rsidRPr="00DA70A9">
        <w:rPr>
          <w:rFonts w:ascii="Arial" w:eastAsia="Times New Roman" w:hAnsi="Arial" w:cs="Arial"/>
        </w:rPr>
        <w:t>-derived scores for TUSCO genes versus other single-isoform genes in human and mouse. The top row shows the Expression score (gene-level tissue-median RPKM); the bottom row shows the Splicing score (maximum splicing score/ratio per gene). Values are plotted as log</w:t>
      </w:r>
      <w:r w:rsidR="00D61240" w:rsidRPr="00DA70A9">
        <w:rPr>
          <w:rFonts w:ascii="Cambria Math" w:eastAsia="Times New Roman" w:hAnsi="Cambria Math" w:cs="Cambria Math"/>
        </w:rPr>
        <w:t>₁₀</w:t>
      </w:r>
      <w:r w:rsidR="00D61240" w:rsidRPr="00DA70A9">
        <w:rPr>
          <w:rFonts w:ascii="Arial" w:eastAsia="Times New Roman" w:hAnsi="Arial" w:cs="Arial"/>
        </w:rPr>
        <w:t xml:space="preserve"> (score + 1e−4). Across both species, TUSCO genes exhibit substantially higher expression and lower</w:t>
      </w:r>
      <w:r w:rsidR="00791559" w:rsidRPr="00DA70A9">
        <w:rPr>
          <w:rFonts w:ascii="Arial" w:eastAsia="Times New Roman" w:hAnsi="Arial" w:cs="Arial"/>
        </w:rPr>
        <w:t xml:space="preserve"> novel</w:t>
      </w:r>
      <w:r w:rsidR="00D61240" w:rsidRPr="00DA70A9">
        <w:rPr>
          <w:rFonts w:ascii="Arial" w:eastAsia="Times New Roman" w:hAnsi="Arial" w:cs="Arial"/>
        </w:rPr>
        <w:t xml:space="preserve"> splicing score ratios than other single-isoform genes, consistent with their selection as widely expressed, splicing-invariant controls. Box centers mark medians; boxes span the interquartile range; whiskers extend 1.5× IQR. Colors: Human TUSCO (light green), Mouse TUSCO (teal), Human Other (light gray), Mouse Other (dark gray).</w:t>
      </w:r>
    </w:p>
    <w:p w14:paraId="077ABBE2" w14:textId="06280EF9" w:rsidR="007E0041" w:rsidRPr="00DA70A9" w:rsidRDefault="00643A3A" w:rsidP="006C7777">
      <w:pPr>
        <w:spacing w:before="100" w:beforeAutospacing="1" w:after="100" w:afterAutospacing="1"/>
        <w:rPr>
          <w:rFonts w:ascii="Arial" w:eastAsia="Times New Roman" w:hAnsi="Arial" w:cs="Arial"/>
        </w:rPr>
      </w:pPr>
      <w:r w:rsidRPr="00DA70A9">
        <w:rPr>
          <w:rFonts w:ascii="Arial" w:eastAsia="Times New Roman" w:hAnsi="Arial" w:cs="Arial"/>
          <w:noProof/>
        </w:rPr>
        <w:lastRenderedPageBreak/>
        <w:drawing>
          <wp:inline distT="0" distB="0" distL="0" distR="0" wp14:anchorId="49D30939" wp14:editId="6812980D">
            <wp:extent cx="4572000" cy="3200400"/>
            <wp:effectExtent l="0" t="0" r="0" b="0"/>
            <wp:docPr id="1881287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7164" name="Picture 18812871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5F644726" w14:textId="076CF60F" w:rsidR="00861FA0" w:rsidRPr="00DA70A9" w:rsidRDefault="007E0041" w:rsidP="006C7777">
      <w:pPr>
        <w:spacing w:before="100" w:beforeAutospacing="1" w:after="100" w:afterAutospacing="1"/>
        <w:rPr>
          <w:rFonts w:ascii="Arial" w:eastAsia="Times New Roman" w:hAnsi="Arial" w:cs="Arial"/>
        </w:rPr>
      </w:pPr>
      <w:r w:rsidRPr="00DA70A9">
        <w:rPr>
          <w:rFonts w:ascii="Arial" w:eastAsia="Times New Roman" w:hAnsi="Arial" w:cs="Arial"/>
          <w:b/>
          <w:bCs/>
        </w:rPr>
        <w:t>Figure S</w:t>
      </w:r>
      <w:r w:rsidR="007E2898" w:rsidRPr="00DA70A9">
        <w:rPr>
          <w:rFonts w:ascii="Arial" w:eastAsia="Times New Roman" w:hAnsi="Arial" w:cs="Arial"/>
          <w:b/>
          <w:bCs/>
        </w:rPr>
        <w:t>3</w:t>
      </w:r>
      <w:r w:rsidR="00261B15" w:rsidRPr="00DA70A9">
        <w:rPr>
          <w:rFonts w:ascii="Arial" w:eastAsia="Times New Roman" w:hAnsi="Arial" w:cs="Arial"/>
          <w:b/>
          <w:bCs/>
        </w:rPr>
        <w:t xml:space="preserve"> | False negatives decrease with effective sequencing yield.</w:t>
      </w:r>
      <w:r w:rsidR="00261B15" w:rsidRPr="00DA70A9">
        <w:rPr>
          <w:rFonts w:ascii="Arial" w:eastAsia="Times New Roman" w:hAnsi="Arial" w:cs="Arial"/>
        </w:rPr>
        <w:t xml:space="preserve"> Scatter plot showing the number of recomputed TUSCO false negatives (y-axis) versus a composite metric, Log (Total Reads) × Median Read Length (x-axis), across LRGASP datasets. Point shape encodes method (triangle: ONT-cDNA; diamond: ONT-</w:t>
      </w:r>
      <w:proofErr w:type="spellStart"/>
      <w:r w:rsidR="00261B15" w:rsidRPr="00DA70A9">
        <w:rPr>
          <w:rFonts w:ascii="Arial" w:eastAsia="Times New Roman" w:hAnsi="Arial" w:cs="Arial"/>
        </w:rPr>
        <w:t>dRNA</w:t>
      </w:r>
      <w:proofErr w:type="spellEnd"/>
      <w:r w:rsidR="00261B15" w:rsidRPr="00DA70A9">
        <w:rPr>
          <w:rFonts w:ascii="Arial" w:eastAsia="Times New Roman" w:hAnsi="Arial" w:cs="Arial"/>
        </w:rPr>
        <w:t>; circle: PacBio-cDNA), color indicates cell line (ES, WTC11), and point size denotes short-read support (larger = yes). Labels include dataset names; “-LS” marks libraries with length selection. A linear fit with 95% confidence band (gray) reveals a strong negative correlation (Pearson r = −0.82, p = 1.1 × 10</w:t>
      </w:r>
      <w:r w:rsidR="00261B15" w:rsidRPr="00DA70A9">
        <w:rPr>
          <w:rFonts w:ascii="Cambria Math" w:eastAsia="Times New Roman" w:hAnsi="Cambria Math" w:cs="Cambria Math"/>
        </w:rPr>
        <w:t>⁻</w:t>
      </w:r>
      <w:r w:rsidR="00261B15" w:rsidRPr="00DA70A9">
        <w:rPr>
          <w:rFonts w:ascii="Arial" w:eastAsia="Times New Roman" w:hAnsi="Arial" w:cs="Arial"/>
        </w:rPr>
        <w:t>³), indicating that higher effective depth and longer reads substantially reduce false negatives, consistent with technical rather than biological causes.</w:t>
      </w:r>
    </w:p>
    <w:p w14:paraId="19AA9E1B" w14:textId="77777777" w:rsidR="00861FA0" w:rsidRPr="00DA70A9" w:rsidRDefault="00861FA0" w:rsidP="006C7777">
      <w:pPr>
        <w:tabs>
          <w:tab w:val="left" w:pos="1304"/>
        </w:tabs>
        <w:spacing w:before="100" w:beforeAutospacing="1" w:after="100" w:afterAutospacing="1"/>
        <w:rPr>
          <w:rFonts w:ascii="Arial" w:eastAsia="Times New Roman" w:hAnsi="Arial" w:cs="Arial"/>
        </w:rPr>
      </w:pPr>
    </w:p>
    <w:p w14:paraId="6E98B6DE" w14:textId="77777777" w:rsidR="00861FA0" w:rsidRPr="00DA70A9" w:rsidRDefault="00861FA0" w:rsidP="006C7777">
      <w:pPr>
        <w:tabs>
          <w:tab w:val="left" w:pos="1304"/>
        </w:tabs>
        <w:spacing w:before="100" w:beforeAutospacing="1" w:after="100" w:afterAutospacing="1"/>
        <w:rPr>
          <w:rFonts w:ascii="Arial" w:eastAsia="Times New Roman" w:hAnsi="Arial" w:cs="Arial"/>
        </w:rPr>
      </w:pPr>
    </w:p>
    <w:p w14:paraId="34429A6F" w14:textId="77777777" w:rsidR="00861FA0" w:rsidRPr="00DA70A9" w:rsidRDefault="00861FA0" w:rsidP="006C7777">
      <w:pPr>
        <w:tabs>
          <w:tab w:val="left" w:pos="1304"/>
        </w:tabs>
        <w:spacing w:before="100" w:beforeAutospacing="1" w:after="100" w:afterAutospacing="1"/>
        <w:rPr>
          <w:rFonts w:ascii="Arial" w:eastAsia="Times New Roman" w:hAnsi="Arial" w:cs="Arial"/>
        </w:rPr>
      </w:pPr>
    </w:p>
    <w:p w14:paraId="6C7C31F7" w14:textId="77777777" w:rsidR="00861FA0" w:rsidRPr="00DA70A9" w:rsidRDefault="00861FA0" w:rsidP="006C7777">
      <w:pPr>
        <w:tabs>
          <w:tab w:val="left" w:pos="1304"/>
        </w:tabs>
        <w:spacing w:before="100" w:beforeAutospacing="1" w:after="100" w:afterAutospacing="1"/>
        <w:rPr>
          <w:rFonts w:ascii="Arial" w:eastAsia="Times New Roman" w:hAnsi="Arial" w:cs="Arial"/>
        </w:rPr>
      </w:pPr>
    </w:p>
    <w:p w14:paraId="142F0287" w14:textId="20DCD35F" w:rsidR="001569AC" w:rsidRPr="00DA70A9" w:rsidRDefault="00861FA0" w:rsidP="006C7777">
      <w:pPr>
        <w:tabs>
          <w:tab w:val="left" w:pos="1304"/>
        </w:tabs>
        <w:spacing w:before="100" w:beforeAutospacing="1" w:after="100" w:afterAutospacing="1"/>
        <w:rPr>
          <w:rFonts w:ascii="Arial" w:hAnsi="Arial" w:cs="Arial"/>
          <w:b/>
          <w:bCs/>
        </w:rPr>
      </w:pPr>
      <w:r w:rsidRPr="00DA70A9">
        <w:rPr>
          <w:rFonts w:ascii="Arial" w:eastAsia="Times New Roman" w:hAnsi="Arial" w:cs="Arial"/>
          <w:noProof/>
        </w:rPr>
        <w:lastRenderedPageBreak/>
        <w:drawing>
          <wp:inline distT="0" distB="0" distL="0" distR="0" wp14:anchorId="40BA36F4" wp14:editId="2A42A3DF">
            <wp:extent cx="5943600" cy="8032115"/>
            <wp:effectExtent l="0" t="0" r="0" b="0"/>
            <wp:docPr id="581709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9006" name="Picture 581709006"/>
                    <pic:cNvPicPr/>
                  </pic:nvPicPr>
                  <pic:blipFill>
                    <a:blip r:embed="rId22"/>
                    <a:stretch>
                      <a:fillRect/>
                    </a:stretch>
                  </pic:blipFill>
                  <pic:spPr>
                    <a:xfrm>
                      <a:off x="0" y="0"/>
                      <a:ext cx="5943600" cy="8032115"/>
                    </a:xfrm>
                    <a:prstGeom prst="rect">
                      <a:avLst/>
                    </a:prstGeom>
                  </pic:spPr>
                </pic:pic>
              </a:graphicData>
            </a:graphic>
          </wp:inline>
        </w:drawing>
      </w:r>
      <w:r w:rsidR="00384BE3" w:rsidRPr="00DA70A9">
        <w:rPr>
          <w:rFonts w:ascii="Arial" w:hAnsi="Arial" w:cs="Arial"/>
        </w:rPr>
        <w:t xml:space="preserve"> </w:t>
      </w:r>
      <w:r w:rsidR="00384BE3" w:rsidRPr="00DA70A9">
        <w:rPr>
          <w:rFonts w:ascii="Arial" w:eastAsia="Times New Roman" w:hAnsi="Arial" w:cs="Arial"/>
          <w:b/>
          <w:bCs/>
        </w:rPr>
        <w:t>Figure S</w:t>
      </w:r>
      <w:r w:rsidR="007E2898" w:rsidRPr="00DA70A9">
        <w:rPr>
          <w:rFonts w:ascii="Arial" w:eastAsia="Times New Roman" w:hAnsi="Arial" w:cs="Arial"/>
          <w:b/>
          <w:bCs/>
        </w:rPr>
        <w:t>4</w:t>
      </w:r>
      <w:r w:rsidR="00384BE3" w:rsidRPr="00DA70A9">
        <w:rPr>
          <w:rFonts w:ascii="Arial" w:eastAsia="Times New Roman" w:hAnsi="Arial" w:cs="Arial"/>
          <w:b/>
          <w:bCs/>
        </w:rPr>
        <w:t xml:space="preserve">: Performance of long-read transcriptome reconstruction pipelines on the TUSCO </w:t>
      </w:r>
      <w:r w:rsidR="00384BE3" w:rsidRPr="00DA70A9">
        <w:rPr>
          <w:rFonts w:ascii="Arial" w:eastAsia="Times New Roman" w:hAnsi="Arial" w:cs="Arial"/>
          <w:b/>
          <w:bCs/>
        </w:rPr>
        <w:lastRenderedPageBreak/>
        <w:t>benchmark in discovery unannotated genes.</w:t>
      </w:r>
      <w:r w:rsidR="00384BE3" w:rsidRPr="00DA70A9">
        <w:rPr>
          <w:rFonts w:ascii="Arial" w:eastAsia="Times New Roman" w:hAnsi="Arial" w:cs="Arial"/>
        </w:rPr>
        <w:t xml:space="preserve"> Panels a–h (a, Bambu-Novel; b, Bambu-Reference; c, </w:t>
      </w:r>
      <w:proofErr w:type="spellStart"/>
      <w:r w:rsidR="00384BE3" w:rsidRPr="00DA70A9">
        <w:rPr>
          <w:rFonts w:ascii="Arial" w:eastAsia="Times New Roman" w:hAnsi="Arial" w:cs="Arial"/>
        </w:rPr>
        <w:t>StringTie</w:t>
      </w:r>
      <w:proofErr w:type="spellEnd"/>
      <w:r w:rsidR="00384BE3" w:rsidRPr="00DA70A9">
        <w:rPr>
          <w:rFonts w:ascii="Arial" w:eastAsia="Times New Roman" w:hAnsi="Arial" w:cs="Arial"/>
        </w:rPr>
        <w:t xml:space="preserve">-Novel; d, </w:t>
      </w:r>
      <w:proofErr w:type="spellStart"/>
      <w:r w:rsidR="00384BE3" w:rsidRPr="00DA70A9">
        <w:rPr>
          <w:rFonts w:ascii="Arial" w:eastAsia="Times New Roman" w:hAnsi="Arial" w:cs="Arial"/>
        </w:rPr>
        <w:t>StringTie</w:t>
      </w:r>
      <w:proofErr w:type="spellEnd"/>
      <w:r w:rsidR="00384BE3" w:rsidRPr="00DA70A9">
        <w:rPr>
          <w:rFonts w:ascii="Arial" w:eastAsia="Times New Roman" w:hAnsi="Arial" w:cs="Arial"/>
        </w:rPr>
        <w:t xml:space="preserve">-Reference; e, Flair-Novel; f, Flair-Reference; g, </w:t>
      </w:r>
      <w:proofErr w:type="spellStart"/>
      <w:r w:rsidR="00384BE3" w:rsidRPr="00DA70A9">
        <w:rPr>
          <w:rFonts w:ascii="Arial" w:eastAsia="Times New Roman" w:hAnsi="Arial" w:cs="Arial"/>
        </w:rPr>
        <w:t>IsoSeq</w:t>
      </w:r>
      <w:proofErr w:type="spellEnd"/>
      <w:r w:rsidR="00384BE3" w:rsidRPr="00DA70A9">
        <w:rPr>
          <w:rFonts w:ascii="Arial" w:eastAsia="Times New Roman" w:hAnsi="Arial" w:cs="Arial"/>
        </w:rPr>
        <w:t xml:space="preserve">-Novel; h, IsoSeq-Reference) show stacked-bar summaries for each human (wtc11-*) and mouse (es-*) sample: total bar height equals the number of multi-exon TUSCO genes assessed, </w:t>
      </w:r>
      <w:proofErr w:type="spellStart"/>
      <w:r w:rsidR="00384BE3" w:rsidRPr="00DA70A9">
        <w:rPr>
          <w:rFonts w:ascii="Arial" w:eastAsia="Times New Roman" w:hAnsi="Arial" w:cs="Arial"/>
        </w:rPr>
        <w:t>colours</w:t>
      </w:r>
      <w:proofErr w:type="spellEnd"/>
      <w:r w:rsidR="00384BE3" w:rsidRPr="00DA70A9">
        <w:rPr>
          <w:rFonts w:ascii="Arial" w:eastAsia="Times New Roman" w:hAnsi="Arial" w:cs="Arial"/>
        </w:rPr>
        <w:t xml:space="preserve"> indicate SQANTI3 structural categories (legend). Turquoise RM segments correspond to full splice matches with identical transcription start and termination and are scored as true positives (TP); alternative 3′, 5′ or 3′/5′ ends plus ISM represent partial true positives (PTP); NIC, NNC and other genic/intergenic classes constitute false positives (FP); grey “Missing” portions are false negatives (FN). Numeric overlays list TP, PTP, FP and FN for each bar. In the Novel regime the authentic TUSCO isoform was replaced by a synthetic splice-junction variant (TUSCO-novel), forcing pipelines to rediscover the true isoform in the presence of a misleading annotation, whereas the Reference regime uses the unedited annotation to measure classical recall. The figure therefore captures, in a single glance, both absolute recovery of true isoforms and the mis-classification spectrum that arises when annotation incompleteness mimics real-world transcript discovery scenarios</w:t>
      </w:r>
      <w:r w:rsidR="00C94FBD" w:rsidRPr="00DA70A9">
        <w:rPr>
          <w:rFonts w:ascii="Arial" w:hAnsi="Arial" w:cs="Arial"/>
          <w:b/>
          <w:bCs/>
        </w:rPr>
        <w:t>.</w:t>
      </w:r>
    </w:p>
    <w:p w14:paraId="20C18AC7" w14:textId="3BF5B21C" w:rsidR="00AD4E89" w:rsidRPr="00DA70A9" w:rsidRDefault="00AD4E89" w:rsidP="006C7777">
      <w:pPr>
        <w:tabs>
          <w:tab w:val="left" w:pos="1304"/>
        </w:tabs>
        <w:spacing w:before="100" w:beforeAutospacing="1" w:after="100" w:afterAutospacing="1"/>
        <w:rPr>
          <w:rFonts w:ascii="Arial" w:hAnsi="Arial" w:cs="Arial"/>
          <w:b/>
          <w:bCs/>
        </w:rPr>
      </w:pPr>
      <w:r w:rsidRPr="00DA70A9">
        <w:rPr>
          <w:rFonts w:ascii="Arial" w:hAnsi="Arial" w:cs="Arial"/>
          <w:noProof/>
        </w:rPr>
        <w:drawing>
          <wp:inline distT="0" distB="0" distL="0" distR="0" wp14:anchorId="5BBEB064" wp14:editId="3D81CC76">
            <wp:extent cx="3657600" cy="1638300"/>
            <wp:effectExtent l="0" t="0" r="0" b="0"/>
            <wp:docPr id="62538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85207" name="Picture 6253852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0" cy="1638300"/>
                    </a:xfrm>
                    <a:prstGeom prst="rect">
                      <a:avLst/>
                    </a:prstGeom>
                  </pic:spPr>
                </pic:pic>
              </a:graphicData>
            </a:graphic>
          </wp:inline>
        </w:drawing>
      </w:r>
    </w:p>
    <w:p w14:paraId="2FEA198C" w14:textId="1FA396DB" w:rsidR="00D7158A" w:rsidRPr="00D7158A" w:rsidRDefault="00AD4E89" w:rsidP="00D7158A">
      <w:pPr>
        <w:tabs>
          <w:tab w:val="left" w:pos="1304"/>
        </w:tabs>
        <w:spacing w:before="100" w:beforeAutospacing="1" w:after="100" w:afterAutospacing="1"/>
        <w:rPr>
          <w:rFonts w:ascii="Arial" w:hAnsi="Arial" w:cs="Arial"/>
          <w:b/>
          <w:bCs/>
        </w:rPr>
      </w:pPr>
      <w:r w:rsidRPr="00DA70A9">
        <w:rPr>
          <w:rFonts w:ascii="Arial" w:hAnsi="Arial" w:cs="Arial"/>
          <w:b/>
          <w:bCs/>
        </w:rPr>
        <w:t>Figure S5</w:t>
      </w:r>
      <w:r w:rsidR="00D7158A">
        <w:rPr>
          <w:rFonts w:ascii="Arial" w:hAnsi="Arial" w:cs="Arial"/>
          <w:b/>
          <w:bCs/>
        </w:rPr>
        <w:t xml:space="preserve"> | </w:t>
      </w:r>
      <w:r w:rsidR="00D7158A" w:rsidRPr="00D7158A">
        <w:rPr>
          <w:rFonts w:ascii="Arial" w:hAnsi="Arial" w:cs="Arial"/>
          <w:b/>
          <w:bCs/>
        </w:rPr>
        <w:t>Per-read coverage of TUSCO transcripts in LRGASP Iso-Seq cDNA data</w:t>
      </w:r>
    </w:p>
    <w:p w14:paraId="0F805396" w14:textId="42E2E548" w:rsidR="00AD4E89" w:rsidRPr="00D7158A" w:rsidRDefault="00D7158A" w:rsidP="00D7158A">
      <w:pPr>
        <w:tabs>
          <w:tab w:val="left" w:pos="1304"/>
        </w:tabs>
        <w:spacing w:before="100" w:beforeAutospacing="1" w:after="100" w:afterAutospacing="1"/>
        <w:rPr>
          <w:rFonts w:ascii="Arial" w:hAnsi="Arial" w:cs="Arial"/>
        </w:rPr>
      </w:pPr>
      <w:r w:rsidRPr="00D7158A">
        <w:rPr>
          <w:rFonts w:ascii="Arial" w:hAnsi="Arial" w:cs="Arial"/>
        </w:rPr>
        <w:t xml:space="preserve">Violin-plus-boxplots showing the distribution of per-read coverage f = </w:t>
      </w:r>
      <w:proofErr w:type="spellStart"/>
      <w:r w:rsidRPr="00D7158A">
        <w:rPr>
          <w:rFonts w:ascii="Arial" w:hAnsi="Arial" w:cs="Arial"/>
        </w:rPr>
        <w:t>read_length</w:t>
      </w:r>
      <w:proofErr w:type="spellEnd"/>
      <w:r w:rsidRPr="00D7158A">
        <w:rPr>
          <w:rFonts w:ascii="Arial" w:hAnsi="Arial" w:cs="Arial"/>
        </w:rPr>
        <w:t>/</w:t>
      </w:r>
      <w:proofErr w:type="spellStart"/>
      <w:r w:rsidRPr="00D7158A">
        <w:rPr>
          <w:rFonts w:ascii="Arial" w:hAnsi="Arial" w:cs="Arial"/>
        </w:rPr>
        <w:t>exonic_length</w:t>
      </w:r>
      <w:proofErr w:type="spellEnd"/>
      <w:r w:rsidRPr="00D7158A">
        <w:rPr>
          <w:rFonts w:ascii="Arial" w:hAnsi="Arial" w:cs="Arial"/>
        </w:rPr>
        <w:t xml:space="preserve"> for TUSCO-mapped reads, faceted by species (Human WTC11, Mouse ES). Reads are labeled by SQANTI as TP (full-splice match; </w:t>
      </w:r>
      <w:proofErr w:type="spellStart"/>
      <w:r w:rsidRPr="00D7158A">
        <w:rPr>
          <w:rFonts w:ascii="Arial" w:hAnsi="Arial" w:cs="Arial"/>
        </w:rPr>
        <w:t>reference_match</w:t>
      </w:r>
      <w:proofErr w:type="spellEnd"/>
      <w:r w:rsidRPr="00D7158A">
        <w:rPr>
          <w:rFonts w:ascii="Arial" w:hAnsi="Arial" w:cs="Arial"/>
        </w:rPr>
        <w:t>) or PTP (incomplete/partial splice match). Only multi-exon TUSCO transcripts are included; reference- and novel-evaluation classifications are combined; no TSS-based filtering; outliers are retained; y-axis limited to 0–2.0. TPs cluster near full-length, consistent with accurate reconstruction (mean 95.6% of transcript length; n=10,921), while PTPs are shorter, consistent with partial transcripts due to sample and library biases (mean 75.1%; n=2,731). By species: Human—TP 95.1% (n=6,716), PTP 67.5% (n=176); Mouse—TP 96.5%</w:t>
      </w:r>
    </w:p>
    <w:p w14:paraId="341EEFFD" w14:textId="15B41EAE" w:rsidR="0055144D" w:rsidRPr="00DA70A9" w:rsidRDefault="0055144D" w:rsidP="006C7777">
      <w:pPr>
        <w:tabs>
          <w:tab w:val="left" w:pos="1304"/>
        </w:tabs>
        <w:spacing w:before="100" w:beforeAutospacing="1" w:after="100" w:afterAutospacing="1"/>
        <w:rPr>
          <w:rFonts w:ascii="Arial" w:hAnsi="Arial" w:cs="Arial"/>
          <w:b/>
          <w:bCs/>
        </w:rPr>
      </w:pPr>
    </w:p>
    <w:p w14:paraId="67E7244B" w14:textId="0634E270" w:rsidR="001569AC" w:rsidRPr="00DA70A9" w:rsidRDefault="0055144D" w:rsidP="006C7777">
      <w:pPr>
        <w:tabs>
          <w:tab w:val="left" w:pos="1304"/>
        </w:tabs>
        <w:spacing w:before="100" w:beforeAutospacing="1" w:after="100" w:afterAutospacing="1"/>
        <w:rPr>
          <w:rFonts w:ascii="Arial" w:hAnsi="Arial" w:cs="Arial"/>
          <w:b/>
          <w:bCs/>
        </w:rPr>
      </w:pPr>
      <w:r w:rsidRPr="00DA70A9">
        <w:rPr>
          <w:rFonts w:ascii="Arial" w:hAnsi="Arial" w:cs="Arial"/>
          <w:b/>
          <w:bCs/>
          <w:noProof/>
        </w:rPr>
        <w:lastRenderedPageBreak/>
        <w:drawing>
          <wp:inline distT="0" distB="0" distL="0" distR="0" wp14:anchorId="35DFA00E" wp14:editId="0B2FF234">
            <wp:extent cx="5943600" cy="3964305"/>
            <wp:effectExtent l="0" t="0" r="0" b="0"/>
            <wp:docPr id="639182548" name="Picture 1" descr="A group of graphs showing different types of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2548" name="Picture 1" descr="A group of graphs showing different types of results&#10;&#10;AI-generated content may be incorrect."/>
                    <pic:cNvPicPr/>
                  </pic:nvPicPr>
                  <pic:blipFill>
                    <a:blip r:embed="rId24"/>
                    <a:stretch>
                      <a:fillRect/>
                    </a:stretch>
                  </pic:blipFill>
                  <pic:spPr>
                    <a:xfrm>
                      <a:off x="0" y="0"/>
                      <a:ext cx="5943600" cy="3964305"/>
                    </a:xfrm>
                    <a:prstGeom prst="rect">
                      <a:avLst/>
                    </a:prstGeom>
                  </pic:spPr>
                </pic:pic>
              </a:graphicData>
            </a:graphic>
          </wp:inline>
        </w:drawing>
      </w:r>
    </w:p>
    <w:p w14:paraId="77E78062" w14:textId="77777777" w:rsidR="00E949BD" w:rsidRDefault="00FD5794" w:rsidP="006C7777">
      <w:pPr>
        <w:tabs>
          <w:tab w:val="left" w:pos="1304"/>
        </w:tabs>
        <w:spacing w:before="100" w:beforeAutospacing="1" w:after="100" w:afterAutospacing="1"/>
        <w:rPr>
          <w:rFonts w:ascii="Arial" w:eastAsia="Times New Roman" w:hAnsi="Arial" w:cs="Arial"/>
        </w:rPr>
      </w:pPr>
      <w:r w:rsidRPr="00DA70A9">
        <w:rPr>
          <w:rFonts w:ascii="Arial" w:eastAsia="Times New Roman" w:hAnsi="Arial" w:cs="Arial"/>
          <w:b/>
          <w:bCs/>
        </w:rPr>
        <w:t>Figure S</w:t>
      </w:r>
      <w:r w:rsidR="00AD4E89" w:rsidRPr="00DA70A9">
        <w:rPr>
          <w:rFonts w:ascii="Arial" w:eastAsia="Times New Roman" w:hAnsi="Arial" w:cs="Arial"/>
          <w:b/>
          <w:bCs/>
        </w:rPr>
        <w:t>6</w:t>
      </w:r>
      <w:r w:rsidRPr="00DA70A9">
        <w:rPr>
          <w:rFonts w:ascii="Arial" w:eastAsia="Times New Roman" w:hAnsi="Arial" w:cs="Arial"/>
          <w:b/>
          <w:bCs/>
        </w:rPr>
        <w:t xml:space="preserve">: SIRV spike-in transcript reconstruction improves modestly but consistently with additional replicates. </w:t>
      </w:r>
      <w:r w:rsidRPr="00DA70A9">
        <w:rPr>
          <w:rFonts w:ascii="Arial" w:eastAsia="Times New Roman" w:hAnsi="Arial" w:cs="Arial"/>
        </w:rPr>
        <w:t>Purple bars show performance on the SIRV controls in mouse brain (left columns of each panel) and kidney (right columns) as replicate depth increases from one to five libraries.  Performance is scored only for transcripts reproducibly detected across all replicates.  Red annotations indicate the percentage</w:t>
      </w:r>
      <w:r w:rsidRPr="00DA70A9">
        <w:rPr>
          <w:rFonts w:ascii="Cambria Math" w:eastAsia="Times New Roman" w:hAnsi="Cambria Math" w:cs="Cambria Math"/>
        </w:rPr>
        <w:t>‐</w:t>
      </w:r>
      <w:r w:rsidRPr="00DA70A9">
        <w:rPr>
          <w:rFonts w:ascii="Arial" w:eastAsia="Times New Roman" w:hAnsi="Arial" w:cs="Arial"/>
        </w:rPr>
        <w:t>point change upon adding a second replicate (1 → 2 samples). (a) Sensitivity remains unchanged in brain (+0 pp) but falls modestly in kidney (–8.7 pp), reflecting the stricter consensus requirement. (b) Non-redundant precision rises by +1.7 pp (brain) and +1.6 pp (kidney), demonstrating improved accuracy in calling unique isoforms. (c) Inverse redundancy reaches 100 % after a single replicate and shows no further change (+0 pp). (d) 1 – FDR increases by +1.7 pp (brain) and +1.6 pp (kidney), indicating reduction of false positives. (e) Positive detection rate (PDR) is stable in brain (+0 pp) but decreases in kidney (–8.7 pp) under the higher consensus threshold. (f) Redundant precision improves by +1.7 pp in brain and +1.6 pp in kidney, mirroring the gains in non-redundant precision. Beyond two replicates, all metrics plateau (&lt; 1 pp change), indicating diminishing returns.</w:t>
      </w:r>
    </w:p>
    <w:p w14:paraId="033EBE8F" w14:textId="5C1C15CC" w:rsidR="006F3282" w:rsidRPr="00DA70A9" w:rsidRDefault="006F3282" w:rsidP="006C7777">
      <w:pPr>
        <w:tabs>
          <w:tab w:val="left" w:pos="1304"/>
        </w:tabs>
        <w:spacing w:before="100" w:beforeAutospacing="1" w:after="100" w:afterAutospacing="1"/>
        <w:rPr>
          <w:rFonts w:ascii="Arial" w:hAnsi="Arial" w:cs="Arial"/>
          <w:b/>
          <w:bCs/>
        </w:rPr>
      </w:pPr>
      <w:r w:rsidRPr="00DA70A9">
        <w:rPr>
          <w:rFonts w:ascii="Arial" w:hAnsi="Arial" w:cs="Arial"/>
          <w:b/>
          <w:bCs/>
        </w:rPr>
        <w:t xml:space="preserve">Supplementary </w:t>
      </w:r>
      <w:r w:rsidR="003F4446" w:rsidRPr="00DA70A9">
        <w:rPr>
          <w:rFonts w:ascii="Arial" w:hAnsi="Arial" w:cs="Arial"/>
          <w:b/>
          <w:bCs/>
        </w:rPr>
        <w:t>table</w:t>
      </w:r>
    </w:p>
    <w:tbl>
      <w:tblPr>
        <w:tblStyle w:val="TableGrid"/>
        <w:tblW w:w="9320" w:type="dxa"/>
        <w:tblLook w:val="04A0" w:firstRow="1" w:lastRow="0" w:firstColumn="1" w:lastColumn="0" w:noHBand="0" w:noVBand="1"/>
      </w:tblPr>
      <w:tblGrid>
        <w:gridCol w:w="3510"/>
        <w:gridCol w:w="3069"/>
        <w:gridCol w:w="2741"/>
      </w:tblGrid>
      <w:tr w:rsidR="006F3282" w:rsidRPr="00DA70A9" w14:paraId="03280957" w14:textId="77777777" w:rsidTr="00302A06">
        <w:trPr>
          <w:trHeight w:val="334"/>
        </w:trPr>
        <w:tc>
          <w:tcPr>
            <w:tcW w:w="3510" w:type="dxa"/>
            <w:noWrap/>
            <w:hideMark/>
          </w:tcPr>
          <w:p w14:paraId="5B5415E1" w14:textId="77777777" w:rsidR="006F3282" w:rsidRPr="00DA70A9" w:rsidRDefault="006F3282" w:rsidP="006C7777">
            <w:pPr>
              <w:jc w:val="both"/>
              <w:rPr>
                <w:rFonts w:ascii="Arial" w:eastAsia="Times New Roman" w:hAnsi="Arial" w:cs="Arial"/>
                <w:color w:val="000000"/>
                <w:sz w:val="20"/>
                <w:szCs w:val="20"/>
              </w:rPr>
            </w:pPr>
            <w:bookmarkStart w:id="19" w:name="OLE_LINK3"/>
            <w:r w:rsidRPr="00DA70A9">
              <w:rPr>
                <w:rFonts w:ascii="Arial" w:eastAsia="Times New Roman" w:hAnsi="Arial" w:cs="Arial"/>
                <w:color w:val="000000"/>
                <w:sz w:val="20"/>
                <w:szCs w:val="20"/>
              </w:rPr>
              <w:t xml:space="preserve">               </w:t>
            </w:r>
          </w:p>
        </w:tc>
        <w:tc>
          <w:tcPr>
            <w:tcW w:w="3069" w:type="dxa"/>
            <w:noWrap/>
            <w:hideMark/>
          </w:tcPr>
          <w:p w14:paraId="43D846F5"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WTC11</w:t>
            </w:r>
          </w:p>
        </w:tc>
        <w:tc>
          <w:tcPr>
            <w:tcW w:w="2741" w:type="dxa"/>
            <w:noWrap/>
            <w:hideMark/>
          </w:tcPr>
          <w:p w14:paraId="5B270642"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ES</w:t>
            </w:r>
          </w:p>
        </w:tc>
      </w:tr>
      <w:tr w:rsidR="006F3282" w:rsidRPr="00DA70A9" w14:paraId="756ADB01" w14:textId="77777777" w:rsidTr="00302A06">
        <w:trPr>
          <w:trHeight w:val="334"/>
        </w:trPr>
        <w:tc>
          <w:tcPr>
            <w:tcW w:w="3510" w:type="dxa"/>
            <w:noWrap/>
            <w:hideMark/>
          </w:tcPr>
          <w:p w14:paraId="31FB0FA5"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 xml:space="preserve">cDNA ONT </w:t>
            </w:r>
          </w:p>
        </w:tc>
        <w:tc>
          <w:tcPr>
            <w:tcW w:w="3069" w:type="dxa"/>
            <w:noWrap/>
            <w:hideMark/>
          </w:tcPr>
          <w:p w14:paraId="0793F9E6"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0.974</w:t>
            </w:r>
          </w:p>
        </w:tc>
        <w:tc>
          <w:tcPr>
            <w:tcW w:w="2741" w:type="dxa"/>
            <w:noWrap/>
            <w:hideMark/>
          </w:tcPr>
          <w:p w14:paraId="52E6A593"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0.991</w:t>
            </w:r>
          </w:p>
        </w:tc>
      </w:tr>
      <w:tr w:rsidR="006F3282" w:rsidRPr="00DA70A9" w14:paraId="23A9BD61" w14:textId="77777777" w:rsidTr="00302A06">
        <w:trPr>
          <w:trHeight w:val="334"/>
        </w:trPr>
        <w:tc>
          <w:tcPr>
            <w:tcW w:w="3510" w:type="dxa"/>
            <w:noWrap/>
            <w:hideMark/>
          </w:tcPr>
          <w:p w14:paraId="1F60B711"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cDNA ONT LS</w:t>
            </w:r>
          </w:p>
        </w:tc>
        <w:tc>
          <w:tcPr>
            <w:tcW w:w="3069" w:type="dxa"/>
            <w:noWrap/>
            <w:hideMark/>
          </w:tcPr>
          <w:p w14:paraId="5C5BCAD6"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0.975</w:t>
            </w:r>
          </w:p>
        </w:tc>
        <w:tc>
          <w:tcPr>
            <w:tcW w:w="2741" w:type="dxa"/>
            <w:noWrap/>
            <w:hideMark/>
          </w:tcPr>
          <w:p w14:paraId="48814E68"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0.988</w:t>
            </w:r>
          </w:p>
        </w:tc>
      </w:tr>
      <w:tr w:rsidR="006F3282" w:rsidRPr="00DA70A9" w14:paraId="1EB513EB" w14:textId="77777777" w:rsidTr="00302A06">
        <w:trPr>
          <w:trHeight w:val="334"/>
        </w:trPr>
        <w:tc>
          <w:tcPr>
            <w:tcW w:w="3510" w:type="dxa"/>
            <w:noWrap/>
            <w:hideMark/>
          </w:tcPr>
          <w:p w14:paraId="41D304A9"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cDNA PacBio</w:t>
            </w:r>
          </w:p>
        </w:tc>
        <w:tc>
          <w:tcPr>
            <w:tcW w:w="3069" w:type="dxa"/>
            <w:noWrap/>
            <w:hideMark/>
          </w:tcPr>
          <w:p w14:paraId="576699BD"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0.999</w:t>
            </w:r>
          </w:p>
        </w:tc>
        <w:tc>
          <w:tcPr>
            <w:tcW w:w="2741" w:type="dxa"/>
            <w:noWrap/>
            <w:hideMark/>
          </w:tcPr>
          <w:p w14:paraId="1624D967"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0.999</w:t>
            </w:r>
          </w:p>
        </w:tc>
      </w:tr>
      <w:tr w:rsidR="006F3282" w:rsidRPr="00DA70A9" w14:paraId="17EA77A9" w14:textId="77777777" w:rsidTr="00302A06">
        <w:trPr>
          <w:trHeight w:val="334"/>
        </w:trPr>
        <w:tc>
          <w:tcPr>
            <w:tcW w:w="3510" w:type="dxa"/>
            <w:noWrap/>
            <w:hideMark/>
          </w:tcPr>
          <w:p w14:paraId="23C9ED7F"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 xml:space="preserve">cDNA PacBio LS </w:t>
            </w:r>
          </w:p>
        </w:tc>
        <w:tc>
          <w:tcPr>
            <w:tcW w:w="3069" w:type="dxa"/>
            <w:noWrap/>
            <w:hideMark/>
          </w:tcPr>
          <w:p w14:paraId="14A8F3C9"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0.999</w:t>
            </w:r>
          </w:p>
        </w:tc>
        <w:tc>
          <w:tcPr>
            <w:tcW w:w="2741" w:type="dxa"/>
            <w:noWrap/>
            <w:hideMark/>
          </w:tcPr>
          <w:p w14:paraId="309D26E9"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0.999</w:t>
            </w:r>
          </w:p>
        </w:tc>
      </w:tr>
      <w:tr w:rsidR="006F3282" w:rsidRPr="00DA70A9" w14:paraId="70589BD4" w14:textId="77777777" w:rsidTr="00302A06">
        <w:trPr>
          <w:trHeight w:val="334"/>
        </w:trPr>
        <w:tc>
          <w:tcPr>
            <w:tcW w:w="3510" w:type="dxa"/>
            <w:noWrap/>
            <w:hideMark/>
          </w:tcPr>
          <w:p w14:paraId="18FD5F05" w14:textId="77777777" w:rsidR="006F3282" w:rsidRPr="00DA70A9" w:rsidRDefault="006F3282" w:rsidP="006C7777">
            <w:pPr>
              <w:jc w:val="both"/>
              <w:rPr>
                <w:rFonts w:ascii="Arial" w:eastAsia="Times New Roman" w:hAnsi="Arial" w:cs="Arial"/>
                <w:color w:val="000000"/>
                <w:sz w:val="20"/>
                <w:szCs w:val="20"/>
              </w:rPr>
            </w:pPr>
            <w:proofErr w:type="spellStart"/>
            <w:r w:rsidRPr="00DA70A9">
              <w:rPr>
                <w:rFonts w:ascii="Arial" w:eastAsia="Times New Roman" w:hAnsi="Arial" w:cs="Arial"/>
                <w:color w:val="000000"/>
                <w:sz w:val="20"/>
                <w:szCs w:val="20"/>
              </w:rPr>
              <w:t>dRNA</w:t>
            </w:r>
            <w:proofErr w:type="spellEnd"/>
            <w:r w:rsidRPr="00DA70A9">
              <w:rPr>
                <w:rFonts w:ascii="Arial" w:eastAsia="Times New Roman" w:hAnsi="Arial" w:cs="Arial"/>
                <w:color w:val="000000"/>
                <w:sz w:val="20"/>
                <w:szCs w:val="20"/>
              </w:rPr>
              <w:t xml:space="preserve"> ONT </w:t>
            </w:r>
          </w:p>
        </w:tc>
        <w:tc>
          <w:tcPr>
            <w:tcW w:w="3069" w:type="dxa"/>
            <w:noWrap/>
            <w:hideMark/>
          </w:tcPr>
          <w:p w14:paraId="4B330760"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0.996</w:t>
            </w:r>
          </w:p>
        </w:tc>
        <w:tc>
          <w:tcPr>
            <w:tcW w:w="2741" w:type="dxa"/>
            <w:noWrap/>
            <w:hideMark/>
          </w:tcPr>
          <w:p w14:paraId="7FAECF6E"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0.993</w:t>
            </w:r>
          </w:p>
        </w:tc>
      </w:tr>
      <w:tr w:rsidR="006F3282" w:rsidRPr="00DA70A9" w14:paraId="34EEE2E1" w14:textId="77777777" w:rsidTr="00302A06">
        <w:trPr>
          <w:trHeight w:val="334"/>
        </w:trPr>
        <w:tc>
          <w:tcPr>
            <w:tcW w:w="3510" w:type="dxa"/>
            <w:noWrap/>
            <w:hideMark/>
          </w:tcPr>
          <w:p w14:paraId="125F1160" w14:textId="77777777" w:rsidR="006F3282" w:rsidRPr="00DA70A9" w:rsidRDefault="006F3282" w:rsidP="006C7777">
            <w:pPr>
              <w:jc w:val="both"/>
              <w:rPr>
                <w:rFonts w:ascii="Arial" w:eastAsia="Times New Roman" w:hAnsi="Arial" w:cs="Arial"/>
                <w:color w:val="000000"/>
                <w:sz w:val="20"/>
                <w:szCs w:val="20"/>
              </w:rPr>
            </w:pPr>
            <w:proofErr w:type="spellStart"/>
            <w:r w:rsidRPr="00DA70A9">
              <w:rPr>
                <w:rFonts w:ascii="Arial" w:eastAsia="Times New Roman" w:hAnsi="Arial" w:cs="Arial"/>
                <w:color w:val="000000"/>
                <w:sz w:val="20"/>
                <w:szCs w:val="20"/>
              </w:rPr>
              <w:lastRenderedPageBreak/>
              <w:t>dRNA</w:t>
            </w:r>
            <w:proofErr w:type="spellEnd"/>
            <w:r w:rsidRPr="00DA70A9">
              <w:rPr>
                <w:rFonts w:ascii="Arial" w:eastAsia="Times New Roman" w:hAnsi="Arial" w:cs="Arial"/>
                <w:color w:val="000000"/>
                <w:sz w:val="20"/>
                <w:szCs w:val="20"/>
              </w:rPr>
              <w:t xml:space="preserve"> ONT LS</w:t>
            </w:r>
          </w:p>
        </w:tc>
        <w:tc>
          <w:tcPr>
            <w:tcW w:w="3069" w:type="dxa"/>
            <w:noWrap/>
            <w:hideMark/>
          </w:tcPr>
          <w:p w14:paraId="642A3F01"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0.998</w:t>
            </w:r>
          </w:p>
        </w:tc>
        <w:tc>
          <w:tcPr>
            <w:tcW w:w="2741" w:type="dxa"/>
            <w:noWrap/>
            <w:hideMark/>
          </w:tcPr>
          <w:p w14:paraId="43BFECDE" w14:textId="77777777" w:rsidR="006F3282" w:rsidRPr="00DA70A9" w:rsidRDefault="006F3282" w:rsidP="006C7777">
            <w:pPr>
              <w:jc w:val="both"/>
              <w:rPr>
                <w:rFonts w:ascii="Arial" w:eastAsia="Times New Roman" w:hAnsi="Arial" w:cs="Arial"/>
                <w:color w:val="000000"/>
                <w:sz w:val="20"/>
                <w:szCs w:val="20"/>
              </w:rPr>
            </w:pPr>
            <w:r w:rsidRPr="00DA70A9">
              <w:rPr>
                <w:rFonts w:ascii="Arial" w:eastAsia="Times New Roman" w:hAnsi="Arial" w:cs="Arial"/>
                <w:color w:val="000000"/>
                <w:sz w:val="20"/>
                <w:szCs w:val="20"/>
              </w:rPr>
              <w:t>0.993</w:t>
            </w:r>
          </w:p>
        </w:tc>
      </w:tr>
    </w:tbl>
    <w:bookmarkEnd w:id="19"/>
    <w:p w14:paraId="5450FEC6" w14:textId="70334BD8" w:rsidR="006F3282" w:rsidRDefault="006F3282" w:rsidP="006C7777">
      <w:pPr>
        <w:spacing w:before="100" w:beforeAutospacing="1" w:after="100" w:afterAutospacing="1"/>
        <w:rPr>
          <w:rFonts w:ascii="Arial" w:hAnsi="Arial" w:cs="Arial"/>
        </w:rPr>
      </w:pPr>
      <w:commentRangeStart w:id="20"/>
      <w:r w:rsidRPr="00DA70A9">
        <w:rPr>
          <w:rFonts w:ascii="Arial" w:hAnsi="Arial" w:cs="Arial"/>
          <w:b/>
          <w:bCs/>
        </w:rPr>
        <w:t>Table S1</w:t>
      </w:r>
      <w:commentRangeEnd w:id="20"/>
      <w:r w:rsidRPr="00DA70A9">
        <w:rPr>
          <w:rStyle w:val="CommentReference"/>
          <w:rFonts w:ascii="Arial" w:hAnsi="Arial" w:cs="Arial"/>
          <w:b/>
          <w:bCs/>
          <w:sz w:val="20"/>
          <w:szCs w:val="20"/>
        </w:rPr>
        <w:commentReference w:id="20"/>
      </w:r>
      <w:r w:rsidRPr="00DA70A9">
        <w:rPr>
          <w:rFonts w:ascii="Arial" w:hAnsi="Arial" w:cs="Arial"/>
          <w:b/>
          <w:bCs/>
        </w:rPr>
        <w:t>.</w:t>
      </w:r>
      <w:r w:rsidRPr="00DA70A9">
        <w:rPr>
          <w:rFonts w:ascii="Arial" w:hAnsi="Arial" w:cs="Arial"/>
        </w:rPr>
        <w:t xml:space="preserve"> Cosine similarity (</w:t>
      </w:r>
      <w:proofErr w:type="spellStart"/>
      <w:r w:rsidRPr="00DA70A9">
        <w:rPr>
          <w:rFonts w:ascii="Arial" w:hAnsi="Arial" w:cs="Arial"/>
        </w:rPr>
        <w:t>cosim</w:t>
      </w:r>
      <w:proofErr w:type="spellEnd"/>
      <w:r w:rsidRPr="00DA70A9">
        <w:rPr>
          <w:rFonts w:ascii="Arial" w:hAnsi="Arial" w:cs="Arial"/>
        </w:rPr>
        <w:t>) scores across different pipelines for mouse embryonic stem cells (ES) and human WTC11 cells. Cosine similarity values close to 1 indicate high agreement. LS denotes pipelines that integrate long and short reads.</w:t>
      </w:r>
    </w:p>
    <w:p w14:paraId="14A91649" w14:textId="77777777" w:rsidR="00E949BD" w:rsidRPr="00DA70A9" w:rsidRDefault="00E949BD" w:rsidP="006C7777">
      <w:pPr>
        <w:spacing w:before="100" w:beforeAutospacing="1" w:after="100" w:afterAutospacing="1"/>
        <w:rPr>
          <w:rFonts w:ascii="Arial" w:hAnsi="Arial" w:cs="Arial"/>
        </w:rPr>
      </w:pPr>
    </w:p>
    <w:tbl>
      <w:tblPr>
        <w:tblStyle w:val="TableGrid"/>
        <w:tblW w:w="9405" w:type="dxa"/>
        <w:tblLook w:val="04A0" w:firstRow="1" w:lastRow="0" w:firstColumn="1" w:lastColumn="0" w:noHBand="0" w:noVBand="1"/>
      </w:tblPr>
      <w:tblGrid>
        <w:gridCol w:w="3135"/>
        <w:gridCol w:w="3135"/>
        <w:gridCol w:w="3135"/>
      </w:tblGrid>
      <w:tr w:rsidR="004D31CC" w:rsidRPr="00DA70A9" w14:paraId="5B1BEE51" w14:textId="77777777" w:rsidTr="004D31CC">
        <w:trPr>
          <w:trHeight w:val="292"/>
        </w:trPr>
        <w:tc>
          <w:tcPr>
            <w:tcW w:w="3135" w:type="dxa"/>
            <w:noWrap/>
            <w:hideMark/>
          </w:tcPr>
          <w:p w14:paraId="4A56EBF8" w14:textId="0CFF34B6" w:rsidR="004D31CC" w:rsidRPr="00DA70A9" w:rsidRDefault="001C7CF1" w:rsidP="006C7777">
            <w:pPr>
              <w:jc w:val="both"/>
              <w:rPr>
                <w:rFonts w:ascii="Arial" w:eastAsia="Times New Roman" w:hAnsi="Arial" w:cs="Arial"/>
                <w:b/>
                <w:bCs/>
                <w:color w:val="000000" w:themeColor="text1"/>
                <w:sz w:val="20"/>
                <w:szCs w:val="20"/>
              </w:rPr>
            </w:pPr>
            <w:r w:rsidRPr="00DA70A9">
              <w:rPr>
                <w:rFonts w:ascii="Arial" w:eastAsia="Times New Roman" w:hAnsi="Arial" w:cs="Arial"/>
                <w:b/>
                <w:bCs/>
                <w:color w:val="000000" w:themeColor="text1"/>
                <w:sz w:val="20"/>
                <w:szCs w:val="20"/>
              </w:rPr>
              <w:t> </w:t>
            </w:r>
          </w:p>
        </w:tc>
        <w:tc>
          <w:tcPr>
            <w:tcW w:w="3135" w:type="dxa"/>
            <w:noWrap/>
            <w:hideMark/>
          </w:tcPr>
          <w:p w14:paraId="03A76885" w14:textId="77777777" w:rsidR="004D31CC" w:rsidRPr="00DA70A9" w:rsidRDefault="004D31CC" w:rsidP="006C7777">
            <w:pPr>
              <w:jc w:val="both"/>
              <w:rPr>
                <w:rFonts w:ascii="Arial" w:eastAsia="Times New Roman" w:hAnsi="Arial" w:cs="Arial"/>
                <w:b/>
                <w:bCs/>
                <w:color w:val="000000" w:themeColor="text1"/>
                <w:sz w:val="20"/>
                <w:szCs w:val="20"/>
              </w:rPr>
            </w:pPr>
            <w:r w:rsidRPr="00DA70A9">
              <w:rPr>
                <w:rFonts w:ascii="Arial" w:eastAsia="Times New Roman" w:hAnsi="Arial" w:cs="Arial"/>
                <w:b/>
                <w:bCs/>
                <w:color w:val="000000" w:themeColor="text1"/>
                <w:sz w:val="20"/>
                <w:szCs w:val="20"/>
              </w:rPr>
              <w:t>Read Count</w:t>
            </w:r>
          </w:p>
        </w:tc>
        <w:tc>
          <w:tcPr>
            <w:tcW w:w="3135" w:type="dxa"/>
            <w:noWrap/>
            <w:hideMark/>
          </w:tcPr>
          <w:p w14:paraId="486162E6" w14:textId="77777777" w:rsidR="004D31CC" w:rsidRPr="00DA70A9" w:rsidRDefault="004D31CC" w:rsidP="006C7777">
            <w:pPr>
              <w:jc w:val="both"/>
              <w:rPr>
                <w:rFonts w:ascii="Arial" w:eastAsia="Times New Roman" w:hAnsi="Arial" w:cs="Arial"/>
                <w:b/>
                <w:bCs/>
                <w:color w:val="000000" w:themeColor="text1"/>
                <w:sz w:val="20"/>
                <w:szCs w:val="20"/>
              </w:rPr>
            </w:pPr>
            <w:r w:rsidRPr="00DA70A9">
              <w:rPr>
                <w:rFonts w:ascii="Arial" w:eastAsia="Times New Roman" w:hAnsi="Arial" w:cs="Arial"/>
                <w:b/>
                <w:bCs/>
                <w:color w:val="000000" w:themeColor="text1"/>
                <w:sz w:val="20"/>
                <w:szCs w:val="20"/>
              </w:rPr>
              <w:t>Tissue</w:t>
            </w:r>
          </w:p>
        </w:tc>
      </w:tr>
      <w:tr w:rsidR="004D31CC" w:rsidRPr="00DA70A9" w14:paraId="5775EE8B" w14:textId="77777777" w:rsidTr="004D31CC">
        <w:trPr>
          <w:trHeight w:val="292"/>
        </w:trPr>
        <w:tc>
          <w:tcPr>
            <w:tcW w:w="3135" w:type="dxa"/>
            <w:noWrap/>
            <w:hideMark/>
          </w:tcPr>
          <w:p w14:paraId="59926E51"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K31</w:t>
            </w:r>
          </w:p>
        </w:tc>
        <w:tc>
          <w:tcPr>
            <w:tcW w:w="3135" w:type="dxa"/>
            <w:noWrap/>
            <w:hideMark/>
          </w:tcPr>
          <w:p w14:paraId="619F11E9"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4,593,279</w:t>
            </w:r>
          </w:p>
        </w:tc>
        <w:tc>
          <w:tcPr>
            <w:tcW w:w="3135" w:type="dxa"/>
            <w:noWrap/>
            <w:hideMark/>
          </w:tcPr>
          <w:p w14:paraId="2E7EF47B"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Kidney</w:t>
            </w:r>
          </w:p>
        </w:tc>
      </w:tr>
      <w:tr w:rsidR="004D31CC" w:rsidRPr="00DA70A9" w14:paraId="107B0910" w14:textId="77777777" w:rsidTr="004D31CC">
        <w:trPr>
          <w:trHeight w:val="292"/>
        </w:trPr>
        <w:tc>
          <w:tcPr>
            <w:tcW w:w="3135" w:type="dxa"/>
            <w:noWrap/>
            <w:hideMark/>
          </w:tcPr>
          <w:p w14:paraId="624D3EDC"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K32</w:t>
            </w:r>
          </w:p>
        </w:tc>
        <w:tc>
          <w:tcPr>
            <w:tcW w:w="3135" w:type="dxa"/>
            <w:noWrap/>
            <w:hideMark/>
          </w:tcPr>
          <w:p w14:paraId="48715B22"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5,136,502</w:t>
            </w:r>
          </w:p>
        </w:tc>
        <w:tc>
          <w:tcPr>
            <w:tcW w:w="3135" w:type="dxa"/>
            <w:noWrap/>
            <w:hideMark/>
          </w:tcPr>
          <w:p w14:paraId="3FC1FFB1"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Kidney</w:t>
            </w:r>
          </w:p>
        </w:tc>
      </w:tr>
      <w:tr w:rsidR="004D31CC" w:rsidRPr="00DA70A9" w14:paraId="7527D13C" w14:textId="77777777" w:rsidTr="004D31CC">
        <w:trPr>
          <w:trHeight w:val="292"/>
        </w:trPr>
        <w:tc>
          <w:tcPr>
            <w:tcW w:w="3135" w:type="dxa"/>
            <w:noWrap/>
            <w:hideMark/>
          </w:tcPr>
          <w:p w14:paraId="5B176388"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K33</w:t>
            </w:r>
          </w:p>
        </w:tc>
        <w:tc>
          <w:tcPr>
            <w:tcW w:w="3135" w:type="dxa"/>
            <w:noWrap/>
            <w:hideMark/>
          </w:tcPr>
          <w:p w14:paraId="2B524581"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3,902,779</w:t>
            </w:r>
          </w:p>
        </w:tc>
        <w:tc>
          <w:tcPr>
            <w:tcW w:w="3135" w:type="dxa"/>
            <w:noWrap/>
            <w:hideMark/>
          </w:tcPr>
          <w:p w14:paraId="0E412B53"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Kidney</w:t>
            </w:r>
          </w:p>
        </w:tc>
      </w:tr>
      <w:tr w:rsidR="004D31CC" w:rsidRPr="00DA70A9" w14:paraId="7C8371FB" w14:textId="77777777" w:rsidTr="004D31CC">
        <w:trPr>
          <w:trHeight w:val="292"/>
        </w:trPr>
        <w:tc>
          <w:tcPr>
            <w:tcW w:w="3135" w:type="dxa"/>
            <w:noWrap/>
            <w:hideMark/>
          </w:tcPr>
          <w:p w14:paraId="1392F2F2"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K34</w:t>
            </w:r>
          </w:p>
        </w:tc>
        <w:tc>
          <w:tcPr>
            <w:tcW w:w="3135" w:type="dxa"/>
            <w:noWrap/>
            <w:hideMark/>
          </w:tcPr>
          <w:p w14:paraId="077EE30B"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5,436,609</w:t>
            </w:r>
          </w:p>
        </w:tc>
        <w:tc>
          <w:tcPr>
            <w:tcW w:w="3135" w:type="dxa"/>
            <w:noWrap/>
            <w:hideMark/>
          </w:tcPr>
          <w:p w14:paraId="29D8C828"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Kidney</w:t>
            </w:r>
          </w:p>
        </w:tc>
      </w:tr>
      <w:tr w:rsidR="004D31CC" w:rsidRPr="00DA70A9" w14:paraId="5B14CE68" w14:textId="77777777" w:rsidTr="004D31CC">
        <w:trPr>
          <w:trHeight w:val="292"/>
        </w:trPr>
        <w:tc>
          <w:tcPr>
            <w:tcW w:w="3135" w:type="dxa"/>
            <w:noWrap/>
            <w:hideMark/>
          </w:tcPr>
          <w:p w14:paraId="59B8A703"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K35</w:t>
            </w:r>
          </w:p>
        </w:tc>
        <w:tc>
          <w:tcPr>
            <w:tcW w:w="3135" w:type="dxa"/>
            <w:noWrap/>
            <w:hideMark/>
          </w:tcPr>
          <w:p w14:paraId="1BEC0F75"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5,096,149</w:t>
            </w:r>
          </w:p>
        </w:tc>
        <w:tc>
          <w:tcPr>
            <w:tcW w:w="3135" w:type="dxa"/>
            <w:noWrap/>
            <w:hideMark/>
          </w:tcPr>
          <w:p w14:paraId="4A19CE86"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Kidney</w:t>
            </w:r>
          </w:p>
        </w:tc>
      </w:tr>
      <w:tr w:rsidR="004D31CC" w:rsidRPr="00DA70A9" w14:paraId="0D694EFE" w14:textId="77777777" w:rsidTr="004D31CC">
        <w:trPr>
          <w:trHeight w:val="292"/>
        </w:trPr>
        <w:tc>
          <w:tcPr>
            <w:tcW w:w="3135" w:type="dxa"/>
            <w:noWrap/>
            <w:hideMark/>
          </w:tcPr>
          <w:p w14:paraId="483F62EB"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B31</w:t>
            </w:r>
          </w:p>
        </w:tc>
        <w:tc>
          <w:tcPr>
            <w:tcW w:w="3135" w:type="dxa"/>
            <w:noWrap/>
            <w:hideMark/>
          </w:tcPr>
          <w:p w14:paraId="42C2A3DE"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3,684,709</w:t>
            </w:r>
          </w:p>
        </w:tc>
        <w:tc>
          <w:tcPr>
            <w:tcW w:w="3135" w:type="dxa"/>
            <w:noWrap/>
            <w:hideMark/>
          </w:tcPr>
          <w:p w14:paraId="401554F7"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Brain</w:t>
            </w:r>
          </w:p>
        </w:tc>
      </w:tr>
      <w:tr w:rsidR="004D31CC" w:rsidRPr="00DA70A9" w14:paraId="390E1162" w14:textId="77777777" w:rsidTr="004D31CC">
        <w:trPr>
          <w:trHeight w:val="292"/>
        </w:trPr>
        <w:tc>
          <w:tcPr>
            <w:tcW w:w="3135" w:type="dxa"/>
            <w:noWrap/>
            <w:hideMark/>
          </w:tcPr>
          <w:p w14:paraId="1C080FC9"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B32</w:t>
            </w:r>
          </w:p>
        </w:tc>
        <w:tc>
          <w:tcPr>
            <w:tcW w:w="3135" w:type="dxa"/>
            <w:noWrap/>
            <w:hideMark/>
          </w:tcPr>
          <w:p w14:paraId="7C525D9E"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3,684,709</w:t>
            </w:r>
          </w:p>
        </w:tc>
        <w:tc>
          <w:tcPr>
            <w:tcW w:w="3135" w:type="dxa"/>
            <w:noWrap/>
            <w:hideMark/>
          </w:tcPr>
          <w:p w14:paraId="7EDE812A"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Brain</w:t>
            </w:r>
          </w:p>
        </w:tc>
      </w:tr>
      <w:tr w:rsidR="004D31CC" w:rsidRPr="00DA70A9" w14:paraId="4AB40396" w14:textId="77777777" w:rsidTr="004D31CC">
        <w:trPr>
          <w:trHeight w:val="292"/>
        </w:trPr>
        <w:tc>
          <w:tcPr>
            <w:tcW w:w="3135" w:type="dxa"/>
            <w:noWrap/>
            <w:hideMark/>
          </w:tcPr>
          <w:p w14:paraId="6BBDB072"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B33</w:t>
            </w:r>
          </w:p>
        </w:tc>
        <w:tc>
          <w:tcPr>
            <w:tcW w:w="3135" w:type="dxa"/>
            <w:noWrap/>
            <w:hideMark/>
          </w:tcPr>
          <w:p w14:paraId="6726E911"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3,854,778</w:t>
            </w:r>
          </w:p>
        </w:tc>
        <w:tc>
          <w:tcPr>
            <w:tcW w:w="3135" w:type="dxa"/>
            <w:noWrap/>
            <w:hideMark/>
          </w:tcPr>
          <w:p w14:paraId="5AC82158"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Brain</w:t>
            </w:r>
          </w:p>
        </w:tc>
      </w:tr>
      <w:tr w:rsidR="004D31CC" w:rsidRPr="00DA70A9" w14:paraId="1866F9E8" w14:textId="77777777" w:rsidTr="004D31CC">
        <w:trPr>
          <w:trHeight w:val="292"/>
        </w:trPr>
        <w:tc>
          <w:tcPr>
            <w:tcW w:w="3135" w:type="dxa"/>
            <w:noWrap/>
            <w:hideMark/>
          </w:tcPr>
          <w:p w14:paraId="76FA6A6E"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B34</w:t>
            </w:r>
          </w:p>
        </w:tc>
        <w:tc>
          <w:tcPr>
            <w:tcW w:w="3135" w:type="dxa"/>
            <w:noWrap/>
            <w:hideMark/>
          </w:tcPr>
          <w:p w14:paraId="7FD1EF19"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4,413,078</w:t>
            </w:r>
          </w:p>
        </w:tc>
        <w:tc>
          <w:tcPr>
            <w:tcW w:w="3135" w:type="dxa"/>
            <w:noWrap/>
            <w:hideMark/>
          </w:tcPr>
          <w:p w14:paraId="33CE9CED"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Brain</w:t>
            </w:r>
          </w:p>
        </w:tc>
      </w:tr>
      <w:tr w:rsidR="004D31CC" w:rsidRPr="00DA70A9" w14:paraId="2CFEF2AC" w14:textId="77777777" w:rsidTr="004D31CC">
        <w:trPr>
          <w:trHeight w:val="292"/>
        </w:trPr>
        <w:tc>
          <w:tcPr>
            <w:tcW w:w="3135" w:type="dxa"/>
            <w:noWrap/>
            <w:hideMark/>
          </w:tcPr>
          <w:p w14:paraId="418DE989"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B35</w:t>
            </w:r>
          </w:p>
        </w:tc>
        <w:tc>
          <w:tcPr>
            <w:tcW w:w="3135" w:type="dxa"/>
            <w:noWrap/>
            <w:hideMark/>
          </w:tcPr>
          <w:p w14:paraId="7C4505B5"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3,888,139</w:t>
            </w:r>
          </w:p>
        </w:tc>
        <w:tc>
          <w:tcPr>
            <w:tcW w:w="3135" w:type="dxa"/>
            <w:noWrap/>
            <w:hideMark/>
          </w:tcPr>
          <w:p w14:paraId="7EF8E1E4" w14:textId="77777777" w:rsidR="004D31CC" w:rsidRPr="00DA70A9" w:rsidRDefault="004D31CC" w:rsidP="006C7777">
            <w:pPr>
              <w:jc w:val="both"/>
              <w:rPr>
                <w:rFonts w:ascii="Arial" w:eastAsia="Times New Roman" w:hAnsi="Arial" w:cs="Arial"/>
                <w:color w:val="000000" w:themeColor="text1"/>
                <w:sz w:val="20"/>
                <w:szCs w:val="20"/>
              </w:rPr>
            </w:pPr>
            <w:r w:rsidRPr="00DA70A9">
              <w:rPr>
                <w:rFonts w:ascii="Arial" w:eastAsia="Times New Roman" w:hAnsi="Arial" w:cs="Arial"/>
                <w:color w:val="000000" w:themeColor="text1"/>
                <w:sz w:val="20"/>
                <w:szCs w:val="20"/>
              </w:rPr>
              <w:t>Brain</w:t>
            </w:r>
          </w:p>
        </w:tc>
      </w:tr>
    </w:tbl>
    <w:p w14:paraId="5223FFEE" w14:textId="1CD2647F" w:rsidR="00A957F9" w:rsidRPr="00DA70A9" w:rsidRDefault="00A957F9" w:rsidP="006C7777">
      <w:pPr>
        <w:spacing w:before="100" w:beforeAutospacing="1" w:after="100" w:afterAutospacing="1"/>
        <w:rPr>
          <w:rFonts w:ascii="Arial" w:hAnsi="Arial" w:cs="Arial"/>
        </w:rPr>
      </w:pPr>
      <w:r w:rsidRPr="00DA70A9">
        <w:rPr>
          <w:rFonts w:ascii="Arial" w:hAnsi="Arial" w:cs="Arial"/>
          <w:b/>
          <w:bCs/>
        </w:rPr>
        <w:t>Table S2</w:t>
      </w:r>
      <w:r w:rsidR="00C03AE2" w:rsidRPr="00DA70A9">
        <w:rPr>
          <w:rFonts w:ascii="Arial" w:hAnsi="Arial" w:cs="Arial"/>
          <w:b/>
          <w:bCs/>
        </w:rPr>
        <w:t xml:space="preserve">. </w:t>
      </w:r>
      <w:r w:rsidR="00C03AE2" w:rsidRPr="00DA70A9">
        <w:rPr>
          <w:rFonts w:ascii="Arial" w:hAnsi="Arial" w:cs="Arial"/>
        </w:rPr>
        <w:t xml:space="preserve">Read counts for PacBio Iso-Seq samples from mouse kidney (K31–K35) and brain (B31–B35). Each value represents the total number of reads mapped in the corresponding sample, as determined by </w:t>
      </w:r>
      <w:proofErr w:type="spellStart"/>
      <w:r w:rsidR="00C03AE2" w:rsidRPr="00DA70A9">
        <w:rPr>
          <w:rFonts w:ascii="Arial" w:hAnsi="Arial" w:cs="Arial"/>
        </w:rPr>
        <w:t>samtools</w:t>
      </w:r>
      <w:proofErr w:type="spellEnd"/>
      <w:r w:rsidR="00C03AE2" w:rsidRPr="00DA70A9">
        <w:rPr>
          <w:rFonts w:ascii="Arial" w:hAnsi="Arial" w:cs="Arial"/>
        </w:rPr>
        <w:t>. The “Tissue” column indicates the biological source of each sample.</w:t>
      </w:r>
    </w:p>
    <w:p w14:paraId="65D9EAC3" w14:textId="214F0B72" w:rsidR="009B2D58" w:rsidRPr="00A21FBB" w:rsidRDefault="03510BD6" w:rsidP="03510BD6">
      <w:pPr>
        <w:spacing w:before="100" w:beforeAutospacing="1" w:after="100" w:afterAutospacing="1"/>
        <w:rPr>
          <w:rFonts w:ascii="Arial" w:hAnsi="Arial" w:cs="Arial"/>
          <w:b/>
          <w:bCs/>
        </w:rPr>
      </w:pPr>
      <w:commentRangeStart w:id="21"/>
      <w:r w:rsidRPr="03510BD6">
        <w:rPr>
          <w:rFonts w:ascii="Arial" w:hAnsi="Arial" w:cs="Arial"/>
          <w:b/>
          <w:bCs/>
        </w:rPr>
        <w:t>Reference</w:t>
      </w:r>
      <w:commentRangeEnd w:id="21"/>
      <w:r w:rsidR="009B2D58" w:rsidRPr="00A21FBB">
        <w:rPr>
          <w:rStyle w:val="CommentReference"/>
          <w:rFonts w:ascii="Arial" w:hAnsi="Arial" w:cs="Arial"/>
          <w:b/>
          <w:sz w:val="20"/>
          <w:szCs w:val="20"/>
        </w:rPr>
        <w:commentReference w:id="21"/>
      </w:r>
    </w:p>
    <w:p w14:paraId="6C534BEE" w14:textId="77777777" w:rsidR="00E16A68" w:rsidRPr="00E16A68" w:rsidRDefault="0026367A" w:rsidP="00E16A68">
      <w:pPr>
        <w:pStyle w:val="Bibliography"/>
        <w:rPr>
          <w:rFonts w:ascii="Arial" w:hAnsi="Arial" w:cs="Arial"/>
        </w:rPr>
      </w:pPr>
      <w:r w:rsidRPr="00A21FBB">
        <w:rPr>
          <w:rFonts w:ascii="Arial" w:hAnsi="Arial" w:cs="Arial"/>
        </w:rPr>
        <w:fldChar w:fldCharType="begin"/>
      </w:r>
      <w:r w:rsidRPr="00A21FBB">
        <w:rPr>
          <w:rFonts w:ascii="Arial" w:hAnsi="Arial" w:cs="Arial"/>
        </w:rPr>
        <w:instrText xml:space="preserve"> ADDIN ZOTERO_BIBL {"uncited":[],"omitted":[],"custom":[]} CSL_BIBLIOGRAPHY </w:instrText>
      </w:r>
      <w:r w:rsidRPr="00A21FBB">
        <w:rPr>
          <w:rFonts w:ascii="Arial" w:hAnsi="Arial" w:cs="Arial"/>
        </w:rPr>
        <w:fldChar w:fldCharType="separate"/>
      </w:r>
      <w:r w:rsidR="00E16A68" w:rsidRPr="00E16A68">
        <w:rPr>
          <w:rFonts w:ascii="Arial" w:hAnsi="Arial" w:cs="Arial"/>
        </w:rPr>
        <w:t>1.</w:t>
      </w:r>
      <w:r w:rsidR="00E16A68" w:rsidRPr="00E16A68">
        <w:rPr>
          <w:rFonts w:ascii="Arial" w:hAnsi="Arial" w:cs="Arial"/>
        </w:rPr>
        <w:tab/>
        <w:t xml:space="preserve">Marx, V. Method of the year: long-read sequencing. </w:t>
      </w:r>
      <w:r w:rsidR="00E16A68" w:rsidRPr="00E16A68">
        <w:rPr>
          <w:rFonts w:ascii="Arial" w:hAnsi="Arial" w:cs="Arial"/>
          <w:i/>
          <w:iCs/>
        </w:rPr>
        <w:t>Nat Methods</w:t>
      </w:r>
      <w:r w:rsidR="00E16A68" w:rsidRPr="00E16A68">
        <w:rPr>
          <w:rFonts w:ascii="Arial" w:hAnsi="Arial" w:cs="Arial"/>
        </w:rPr>
        <w:t xml:space="preserve"> </w:t>
      </w:r>
      <w:r w:rsidR="00E16A68" w:rsidRPr="00E16A68">
        <w:rPr>
          <w:rFonts w:ascii="Arial" w:hAnsi="Arial" w:cs="Arial"/>
          <w:b/>
          <w:bCs/>
        </w:rPr>
        <w:t>20</w:t>
      </w:r>
      <w:r w:rsidR="00E16A68" w:rsidRPr="00E16A68">
        <w:rPr>
          <w:rFonts w:ascii="Arial" w:hAnsi="Arial" w:cs="Arial"/>
        </w:rPr>
        <w:t>, 6–11 (2023).</w:t>
      </w:r>
    </w:p>
    <w:p w14:paraId="5294DB80" w14:textId="77777777" w:rsidR="00E16A68" w:rsidRPr="00E16A68" w:rsidRDefault="00E16A68" w:rsidP="00E16A68">
      <w:pPr>
        <w:pStyle w:val="Bibliography"/>
        <w:rPr>
          <w:rFonts w:ascii="Arial" w:hAnsi="Arial" w:cs="Arial"/>
        </w:rPr>
      </w:pPr>
      <w:r w:rsidRPr="00E16A68">
        <w:rPr>
          <w:rFonts w:ascii="Arial" w:hAnsi="Arial" w:cs="Arial"/>
        </w:rPr>
        <w:t>2.</w:t>
      </w:r>
      <w:r w:rsidRPr="00E16A68">
        <w:rPr>
          <w:rFonts w:ascii="Arial" w:hAnsi="Arial" w:cs="Arial"/>
        </w:rPr>
        <w:tab/>
        <w:t xml:space="preserve">Chen, Y. </w:t>
      </w:r>
      <w:r w:rsidRPr="00E16A68">
        <w:rPr>
          <w:rFonts w:ascii="Arial" w:hAnsi="Arial" w:cs="Arial"/>
          <w:i/>
          <w:iCs/>
        </w:rPr>
        <w:t>et al.</w:t>
      </w:r>
      <w:r w:rsidRPr="00E16A68">
        <w:rPr>
          <w:rFonts w:ascii="Arial" w:hAnsi="Arial" w:cs="Arial"/>
        </w:rPr>
        <w:t xml:space="preserve"> Context-aware transcript quantification from long-read RNA-seq data with Bambu. </w:t>
      </w:r>
      <w:r w:rsidRPr="00E16A68">
        <w:rPr>
          <w:rFonts w:ascii="Arial" w:hAnsi="Arial" w:cs="Arial"/>
          <w:i/>
          <w:iCs/>
        </w:rPr>
        <w:t>Nat Methods</w:t>
      </w:r>
      <w:r w:rsidRPr="00E16A68">
        <w:rPr>
          <w:rFonts w:ascii="Arial" w:hAnsi="Arial" w:cs="Arial"/>
        </w:rPr>
        <w:t xml:space="preserve"> </w:t>
      </w:r>
      <w:r w:rsidRPr="00E16A68">
        <w:rPr>
          <w:rFonts w:ascii="Arial" w:hAnsi="Arial" w:cs="Arial"/>
          <w:b/>
          <w:bCs/>
        </w:rPr>
        <w:t>20</w:t>
      </w:r>
      <w:r w:rsidRPr="00E16A68">
        <w:rPr>
          <w:rFonts w:ascii="Arial" w:hAnsi="Arial" w:cs="Arial"/>
        </w:rPr>
        <w:t>, 1187–1195 (2023).</w:t>
      </w:r>
    </w:p>
    <w:p w14:paraId="33B5A8E0" w14:textId="77777777" w:rsidR="00E16A68" w:rsidRPr="00E16A68" w:rsidRDefault="00E16A68" w:rsidP="00E16A68">
      <w:pPr>
        <w:pStyle w:val="Bibliography"/>
        <w:rPr>
          <w:rFonts w:ascii="Arial" w:hAnsi="Arial" w:cs="Arial"/>
        </w:rPr>
      </w:pPr>
      <w:r w:rsidRPr="00E16A68">
        <w:rPr>
          <w:rFonts w:ascii="Arial" w:hAnsi="Arial" w:cs="Arial"/>
        </w:rPr>
        <w:t>3.</w:t>
      </w:r>
      <w:r w:rsidRPr="00E16A68">
        <w:rPr>
          <w:rFonts w:ascii="Arial" w:hAnsi="Arial" w:cs="Arial"/>
        </w:rPr>
        <w:tab/>
        <w:t xml:space="preserve">Prjibelski, A. D. </w:t>
      </w:r>
      <w:r w:rsidRPr="00E16A68">
        <w:rPr>
          <w:rFonts w:ascii="Arial" w:hAnsi="Arial" w:cs="Arial"/>
          <w:i/>
          <w:iCs/>
        </w:rPr>
        <w:t>et al.</w:t>
      </w:r>
      <w:r w:rsidRPr="00E16A68">
        <w:rPr>
          <w:rFonts w:ascii="Arial" w:hAnsi="Arial" w:cs="Arial"/>
        </w:rPr>
        <w:t xml:space="preserve"> Accurate isoform discovery with IsoQuant using long reads. </w:t>
      </w:r>
      <w:r w:rsidRPr="00E16A68">
        <w:rPr>
          <w:rFonts w:ascii="Arial" w:hAnsi="Arial" w:cs="Arial"/>
          <w:i/>
          <w:iCs/>
        </w:rPr>
        <w:t>Nat Biotechnol</w:t>
      </w:r>
      <w:r w:rsidRPr="00E16A68">
        <w:rPr>
          <w:rFonts w:ascii="Arial" w:hAnsi="Arial" w:cs="Arial"/>
        </w:rPr>
        <w:t xml:space="preserve"> </w:t>
      </w:r>
      <w:r w:rsidRPr="00E16A68">
        <w:rPr>
          <w:rFonts w:ascii="Arial" w:hAnsi="Arial" w:cs="Arial"/>
          <w:b/>
          <w:bCs/>
        </w:rPr>
        <w:t>41</w:t>
      </w:r>
      <w:r w:rsidRPr="00E16A68">
        <w:rPr>
          <w:rFonts w:ascii="Arial" w:hAnsi="Arial" w:cs="Arial"/>
        </w:rPr>
        <w:t>, 915–918 (2023).</w:t>
      </w:r>
    </w:p>
    <w:p w14:paraId="5B1C5804" w14:textId="77777777" w:rsidR="00E16A68" w:rsidRPr="00E16A68" w:rsidRDefault="00E16A68" w:rsidP="00E16A68">
      <w:pPr>
        <w:pStyle w:val="Bibliography"/>
        <w:rPr>
          <w:rFonts w:ascii="Arial" w:hAnsi="Arial" w:cs="Arial"/>
        </w:rPr>
      </w:pPr>
      <w:r w:rsidRPr="00E16A68">
        <w:rPr>
          <w:rFonts w:ascii="Arial" w:hAnsi="Arial" w:cs="Arial"/>
        </w:rPr>
        <w:t>4.</w:t>
      </w:r>
      <w:r w:rsidRPr="00E16A68">
        <w:rPr>
          <w:rFonts w:ascii="Arial" w:hAnsi="Arial" w:cs="Arial"/>
        </w:rPr>
        <w:tab/>
        <w:t xml:space="preserve">Philpott, M. </w:t>
      </w:r>
      <w:r w:rsidRPr="00E16A68">
        <w:rPr>
          <w:rFonts w:ascii="Arial" w:hAnsi="Arial" w:cs="Arial"/>
          <w:i/>
          <w:iCs/>
        </w:rPr>
        <w:t>et al.</w:t>
      </w:r>
      <w:r w:rsidRPr="00E16A68">
        <w:rPr>
          <w:rFonts w:ascii="Arial" w:hAnsi="Arial" w:cs="Arial"/>
        </w:rPr>
        <w:t xml:space="preserve"> Nanopore sequencing of single-cell transcriptomes with scCOLOR-seq. </w:t>
      </w:r>
      <w:r w:rsidRPr="00E16A68">
        <w:rPr>
          <w:rFonts w:ascii="Arial" w:hAnsi="Arial" w:cs="Arial"/>
          <w:i/>
          <w:iCs/>
        </w:rPr>
        <w:t>Nat Biotechnol</w:t>
      </w:r>
      <w:r w:rsidRPr="00E16A68">
        <w:rPr>
          <w:rFonts w:ascii="Arial" w:hAnsi="Arial" w:cs="Arial"/>
        </w:rPr>
        <w:t xml:space="preserve"> </w:t>
      </w:r>
      <w:r w:rsidRPr="00E16A68">
        <w:rPr>
          <w:rFonts w:ascii="Arial" w:hAnsi="Arial" w:cs="Arial"/>
          <w:b/>
          <w:bCs/>
        </w:rPr>
        <w:t>39</w:t>
      </w:r>
      <w:r w:rsidRPr="00E16A68">
        <w:rPr>
          <w:rFonts w:ascii="Arial" w:hAnsi="Arial" w:cs="Arial"/>
        </w:rPr>
        <w:t>, 1517–1520 (2021).</w:t>
      </w:r>
    </w:p>
    <w:p w14:paraId="69696598" w14:textId="77777777" w:rsidR="00E16A68" w:rsidRPr="00E16A68" w:rsidRDefault="00E16A68" w:rsidP="00E16A68">
      <w:pPr>
        <w:pStyle w:val="Bibliography"/>
        <w:rPr>
          <w:rFonts w:ascii="Arial" w:hAnsi="Arial" w:cs="Arial"/>
        </w:rPr>
      </w:pPr>
      <w:r w:rsidRPr="00E16A68">
        <w:rPr>
          <w:rFonts w:ascii="Arial" w:hAnsi="Arial" w:cs="Arial"/>
        </w:rPr>
        <w:t>5.</w:t>
      </w:r>
      <w:r w:rsidRPr="00E16A68">
        <w:rPr>
          <w:rFonts w:ascii="Arial" w:hAnsi="Arial" w:cs="Arial"/>
        </w:rPr>
        <w:tab/>
        <w:t xml:space="preserve">Kabza, M. </w:t>
      </w:r>
      <w:r w:rsidRPr="00E16A68">
        <w:rPr>
          <w:rFonts w:ascii="Arial" w:hAnsi="Arial" w:cs="Arial"/>
          <w:i/>
          <w:iCs/>
        </w:rPr>
        <w:t>et al.</w:t>
      </w:r>
      <w:r w:rsidRPr="00E16A68">
        <w:rPr>
          <w:rFonts w:ascii="Arial" w:hAnsi="Arial" w:cs="Arial"/>
        </w:rPr>
        <w:t xml:space="preserve"> Accurate long-read transcript discovery and quantification at single-cell, pseudo-bulk and bulk resolution with Isosceles. </w:t>
      </w:r>
      <w:r w:rsidRPr="00E16A68">
        <w:rPr>
          <w:rFonts w:ascii="Arial" w:hAnsi="Arial" w:cs="Arial"/>
          <w:i/>
          <w:iCs/>
        </w:rPr>
        <w:t>Nat Commun</w:t>
      </w:r>
      <w:r w:rsidRPr="00E16A68">
        <w:rPr>
          <w:rFonts w:ascii="Arial" w:hAnsi="Arial" w:cs="Arial"/>
        </w:rPr>
        <w:t xml:space="preserve"> </w:t>
      </w:r>
      <w:r w:rsidRPr="00E16A68">
        <w:rPr>
          <w:rFonts w:ascii="Arial" w:hAnsi="Arial" w:cs="Arial"/>
          <w:b/>
          <w:bCs/>
        </w:rPr>
        <w:t>15</w:t>
      </w:r>
      <w:r w:rsidRPr="00E16A68">
        <w:rPr>
          <w:rFonts w:ascii="Arial" w:hAnsi="Arial" w:cs="Arial"/>
        </w:rPr>
        <w:t>, 7316 (2024).</w:t>
      </w:r>
    </w:p>
    <w:p w14:paraId="0B6B77C0" w14:textId="77777777" w:rsidR="00E16A68" w:rsidRPr="00E16A68" w:rsidRDefault="00E16A68" w:rsidP="00E16A68">
      <w:pPr>
        <w:pStyle w:val="Bibliography"/>
        <w:rPr>
          <w:rFonts w:ascii="Arial" w:hAnsi="Arial" w:cs="Arial"/>
        </w:rPr>
      </w:pPr>
      <w:r w:rsidRPr="00E16A68">
        <w:rPr>
          <w:rFonts w:ascii="Arial" w:hAnsi="Arial" w:cs="Arial"/>
        </w:rPr>
        <w:t>6.</w:t>
      </w:r>
      <w:r w:rsidRPr="00E16A68">
        <w:rPr>
          <w:rFonts w:ascii="Arial" w:hAnsi="Arial" w:cs="Arial"/>
        </w:rPr>
        <w:tab/>
        <w:t xml:space="preserve">Conesa, A. </w:t>
      </w:r>
      <w:r w:rsidRPr="00E16A68">
        <w:rPr>
          <w:rFonts w:ascii="Arial" w:hAnsi="Arial" w:cs="Arial"/>
          <w:i/>
          <w:iCs/>
        </w:rPr>
        <w:t>et al.</w:t>
      </w:r>
      <w:r w:rsidRPr="00E16A68">
        <w:rPr>
          <w:rFonts w:ascii="Arial" w:hAnsi="Arial" w:cs="Arial"/>
        </w:rPr>
        <w:t xml:space="preserve"> A survey of best practices for RNA-seq data analysis. </w:t>
      </w:r>
      <w:r w:rsidRPr="00E16A68">
        <w:rPr>
          <w:rFonts w:ascii="Arial" w:hAnsi="Arial" w:cs="Arial"/>
          <w:i/>
          <w:iCs/>
        </w:rPr>
        <w:t>Genome Biol</w:t>
      </w:r>
      <w:r w:rsidRPr="00E16A68">
        <w:rPr>
          <w:rFonts w:ascii="Arial" w:hAnsi="Arial" w:cs="Arial"/>
        </w:rPr>
        <w:t xml:space="preserve"> </w:t>
      </w:r>
      <w:r w:rsidRPr="00E16A68">
        <w:rPr>
          <w:rFonts w:ascii="Arial" w:hAnsi="Arial" w:cs="Arial"/>
          <w:b/>
          <w:bCs/>
        </w:rPr>
        <w:t>17</w:t>
      </w:r>
      <w:r w:rsidRPr="00E16A68">
        <w:rPr>
          <w:rFonts w:ascii="Arial" w:hAnsi="Arial" w:cs="Arial"/>
        </w:rPr>
        <w:t>, 13 (2016).</w:t>
      </w:r>
    </w:p>
    <w:p w14:paraId="34DDBA12" w14:textId="77777777" w:rsidR="00E16A68" w:rsidRPr="00E16A68" w:rsidRDefault="00E16A68" w:rsidP="00E16A68">
      <w:pPr>
        <w:pStyle w:val="Bibliography"/>
        <w:rPr>
          <w:rFonts w:ascii="Arial" w:hAnsi="Arial" w:cs="Arial"/>
        </w:rPr>
      </w:pPr>
      <w:r w:rsidRPr="00E16A68">
        <w:rPr>
          <w:rFonts w:ascii="Arial" w:hAnsi="Arial" w:cs="Arial"/>
        </w:rPr>
        <w:t>7.</w:t>
      </w:r>
      <w:r w:rsidRPr="00E16A68">
        <w:rPr>
          <w:rFonts w:ascii="Arial" w:hAnsi="Arial" w:cs="Arial"/>
        </w:rPr>
        <w:tab/>
        <w:t xml:space="preserve">Monzó, C., Liu, T. &amp; Conesa, A. Transcriptomics in the era of long-read sequencing. </w:t>
      </w:r>
      <w:r w:rsidRPr="00E16A68">
        <w:rPr>
          <w:rFonts w:ascii="Arial" w:hAnsi="Arial" w:cs="Arial"/>
          <w:i/>
          <w:iCs/>
        </w:rPr>
        <w:t>Nat Rev Genet</w:t>
      </w:r>
      <w:r w:rsidRPr="00E16A68">
        <w:rPr>
          <w:rFonts w:ascii="Arial" w:hAnsi="Arial" w:cs="Arial"/>
        </w:rPr>
        <w:t xml:space="preserve"> 1–21 (2025) doi:10.1038/s41576-025-00828-z.</w:t>
      </w:r>
    </w:p>
    <w:p w14:paraId="39381CA8" w14:textId="77777777" w:rsidR="00E16A68" w:rsidRPr="00E16A68" w:rsidRDefault="00E16A68" w:rsidP="00E16A68">
      <w:pPr>
        <w:pStyle w:val="Bibliography"/>
        <w:rPr>
          <w:rFonts w:ascii="Arial" w:hAnsi="Arial" w:cs="Arial"/>
        </w:rPr>
      </w:pPr>
      <w:r w:rsidRPr="00E16A68">
        <w:rPr>
          <w:rFonts w:ascii="Arial" w:hAnsi="Arial" w:cs="Arial"/>
        </w:rPr>
        <w:lastRenderedPageBreak/>
        <w:t>8.</w:t>
      </w:r>
      <w:r w:rsidRPr="00E16A68">
        <w:rPr>
          <w:rFonts w:ascii="Arial" w:hAnsi="Arial" w:cs="Arial"/>
        </w:rPr>
        <w:tab/>
        <w:t xml:space="preserve">Weirather, J. L. </w:t>
      </w:r>
      <w:r w:rsidRPr="00E16A68">
        <w:rPr>
          <w:rFonts w:ascii="Arial" w:hAnsi="Arial" w:cs="Arial"/>
          <w:i/>
          <w:iCs/>
        </w:rPr>
        <w:t>et al.</w:t>
      </w:r>
      <w:r w:rsidRPr="00E16A68">
        <w:rPr>
          <w:rFonts w:ascii="Arial" w:hAnsi="Arial" w:cs="Arial"/>
        </w:rPr>
        <w:t xml:space="preserve"> Comprehensive comparison of Pacific Biosciences and Oxford Nanopore Technologies and their applications to transcriptome analysis. Preprint at https://doi.org/10.12688/f1000research.10571.2 (2017).</w:t>
      </w:r>
    </w:p>
    <w:p w14:paraId="38B023E3" w14:textId="77777777" w:rsidR="00E16A68" w:rsidRPr="00E16A68" w:rsidRDefault="00E16A68" w:rsidP="00E16A68">
      <w:pPr>
        <w:pStyle w:val="Bibliography"/>
        <w:rPr>
          <w:rFonts w:ascii="Arial" w:hAnsi="Arial" w:cs="Arial"/>
        </w:rPr>
      </w:pPr>
      <w:r w:rsidRPr="00E16A68">
        <w:rPr>
          <w:rFonts w:ascii="Arial" w:hAnsi="Arial" w:cs="Arial"/>
        </w:rPr>
        <w:t>9.</w:t>
      </w:r>
      <w:r w:rsidRPr="00E16A68">
        <w:rPr>
          <w:rFonts w:ascii="Arial" w:hAnsi="Arial" w:cs="Arial"/>
        </w:rPr>
        <w:tab/>
        <w:t xml:space="preserve">Soneson, C. </w:t>
      </w:r>
      <w:r w:rsidRPr="00E16A68">
        <w:rPr>
          <w:rFonts w:ascii="Arial" w:hAnsi="Arial" w:cs="Arial"/>
          <w:i/>
          <w:iCs/>
        </w:rPr>
        <w:t>et al.</w:t>
      </w:r>
      <w:r w:rsidRPr="00E16A68">
        <w:rPr>
          <w:rFonts w:ascii="Arial" w:hAnsi="Arial" w:cs="Arial"/>
        </w:rPr>
        <w:t xml:space="preserve"> A comprehensive examination of Nanopore native RNA sequencing for characterization of complex transcriptomes. </w:t>
      </w:r>
      <w:r w:rsidRPr="00E16A68">
        <w:rPr>
          <w:rFonts w:ascii="Arial" w:hAnsi="Arial" w:cs="Arial"/>
          <w:i/>
          <w:iCs/>
        </w:rPr>
        <w:t>Nat Commun</w:t>
      </w:r>
      <w:r w:rsidRPr="00E16A68">
        <w:rPr>
          <w:rFonts w:ascii="Arial" w:hAnsi="Arial" w:cs="Arial"/>
        </w:rPr>
        <w:t xml:space="preserve"> </w:t>
      </w:r>
      <w:r w:rsidRPr="00E16A68">
        <w:rPr>
          <w:rFonts w:ascii="Arial" w:hAnsi="Arial" w:cs="Arial"/>
          <w:b/>
          <w:bCs/>
        </w:rPr>
        <w:t>10</w:t>
      </w:r>
      <w:r w:rsidRPr="00E16A68">
        <w:rPr>
          <w:rFonts w:ascii="Arial" w:hAnsi="Arial" w:cs="Arial"/>
        </w:rPr>
        <w:t>, 3359 (2019).</w:t>
      </w:r>
    </w:p>
    <w:p w14:paraId="585D808C" w14:textId="77777777" w:rsidR="00E16A68" w:rsidRPr="00E16A68" w:rsidRDefault="00E16A68" w:rsidP="00E16A68">
      <w:pPr>
        <w:pStyle w:val="Bibliography"/>
        <w:rPr>
          <w:rFonts w:ascii="Arial" w:hAnsi="Arial" w:cs="Arial"/>
        </w:rPr>
      </w:pPr>
      <w:r w:rsidRPr="00E16A68">
        <w:rPr>
          <w:rFonts w:ascii="Arial" w:hAnsi="Arial" w:cs="Arial"/>
        </w:rPr>
        <w:t>10.</w:t>
      </w:r>
      <w:r w:rsidRPr="00E16A68">
        <w:rPr>
          <w:rFonts w:ascii="Arial" w:hAnsi="Arial" w:cs="Arial"/>
        </w:rPr>
        <w:tab/>
        <w:t xml:space="preserve">Dong, X. </w:t>
      </w:r>
      <w:r w:rsidRPr="00E16A68">
        <w:rPr>
          <w:rFonts w:ascii="Arial" w:hAnsi="Arial" w:cs="Arial"/>
          <w:i/>
          <w:iCs/>
        </w:rPr>
        <w:t>et al.</w:t>
      </w:r>
      <w:r w:rsidRPr="00E16A68">
        <w:rPr>
          <w:rFonts w:ascii="Arial" w:hAnsi="Arial" w:cs="Arial"/>
        </w:rPr>
        <w:t xml:space="preserve"> Benchmarking long-read RNA-sequencing analysis tools using in silico mixtures. </w:t>
      </w:r>
      <w:r w:rsidRPr="00E16A68">
        <w:rPr>
          <w:rFonts w:ascii="Arial" w:hAnsi="Arial" w:cs="Arial"/>
          <w:i/>
          <w:iCs/>
        </w:rPr>
        <w:t>Nat Methods</w:t>
      </w:r>
      <w:r w:rsidRPr="00E16A68">
        <w:rPr>
          <w:rFonts w:ascii="Arial" w:hAnsi="Arial" w:cs="Arial"/>
        </w:rPr>
        <w:t xml:space="preserve"> </w:t>
      </w:r>
      <w:r w:rsidRPr="00E16A68">
        <w:rPr>
          <w:rFonts w:ascii="Arial" w:hAnsi="Arial" w:cs="Arial"/>
          <w:b/>
          <w:bCs/>
        </w:rPr>
        <w:t>20</w:t>
      </w:r>
      <w:r w:rsidRPr="00E16A68">
        <w:rPr>
          <w:rFonts w:ascii="Arial" w:hAnsi="Arial" w:cs="Arial"/>
        </w:rPr>
        <w:t>, 1810–1821 (2023).</w:t>
      </w:r>
    </w:p>
    <w:p w14:paraId="161966D5" w14:textId="77777777" w:rsidR="00E16A68" w:rsidRPr="00E16A68" w:rsidRDefault="00E16A68" w:rsidP="00E16A68">
      <w:pPr>
        <w:pStyle w:val="Bibliography"/>
        <w:rPr>
          <w:rFonts w:ascii="Arial" w:hAnsi="Arial" w:cs="Arial"/>
        </w:rPr>
      </w:pPr>
      <w:r w:rsidRPr="00E16A68">
        <w:rPr>
          <w:rFonts w:ascii="Arial" w:hAnsi="Arial" w:cs="Arial"/>
        </w:rPr>
        <w:t>11.</w:t>
      </w:r>
      <w:r w:rsidRPr="00E16A68">
        <w:rPr>
          <w:rFonts w:ascii="Arial" w:hAnsi="Arial" w:cs="Arial"/>
        </w:rPr>
        <w:tab/>
        <w:t xml:space="preserve">Su, Y. </w:t>
      </w:r>
      <w:r w:rsidRPr="00E16A68">
        <w:rPr>
          <w:rFonts w:ascii="Arial" w:hAnsi="Arial" w:cs="Arial"/>
          <w:i/>
          <w:iCs/>
        </w:rPr>
        <w:t>et al.</w:t>
      </w:r>
      <w:r w:rsidRPr="00E16A68">
        <w:rPr>
          <w:rFonts w:ascii="Arial" w:hAnsi="Arial" w:cs="Arial"/>
        </w:rPr>
        <w:t xml:space="preserve"> Comprehensive assessment of mRNA isoform detection methods for long-read sequencing data. </w:t>
      </w:r>
      <w:r w:rsidRPr="00E16A68">
        <w:rPr>
          <w:rFonts w:ascii="Arial" w:hAnsi="Arial" w:cs="Arial"/>
          <w:i/>
          <w:iCs/>
        </w:rPr>
        <w:t>Nat Commun</w:t>
      </w:r>
      <w:r w:rsidRPr="00E16A68">
        <w:rPr>
          <w:rFonts w:ascii="Arial" w:hAnsi="Arial" w:cs="Arial"/>
        </w:rPr>
        <w:t xml:space="preserve"> </w:t>
      </w:r>
      <w:r w:rsidRPr="00E16A68">
        <w:rPr>
          <w:rFonts w:ascii="Arial" w:hAnsi="Arial" w:cs="Arial"/>
          <w:b/>
          <w:bCs/>
        </w:rPr>
        <w:t>15</w:t>
      </w:r>
      <w:r w:rsidRPr="00E16A68">
        <w:rPr>
          <w:rFonts w:ascii="Arial" w:hAnsi="Arial" w:cs="Arial"/>
        </w:rPr>
        <w:t>, 3972 (2024).</w:t>
      </w:r>
    </w:p>
    <w:p w14:paraId="678AC966" w14:textId="77777777" w:rsidR="00E16A68" w:rsidRPr="00E16A68" w:rsidRDefault="00E16A68" w:rsidP="00E16A68">
      <w:pPr>
        <w:pStyle w:val="Bibliography"/>
        <w:rPr>
          <w:rFonts w:ascii="Arial" w:hAnsi="Arial" w:cs="Arial"/>
        </w:rPr>
      </w:pPr>
      <w:r w:rsidRPr="00E16A68">
        <w:rPr>
          <w:rFonts w:ascii="Arial" w:hAnsi="Arial" w:cs="Arial"/>
        </w:rPr>
        <w:t>12.</w:t>
      </w:r>
      <w:r w:rsidRPr="00E16A68">
        <w:rPr>
          <w:rFonts w:ascii="Arial" w:hAnsi="Arial" w:cs="Arial"/>
        </w:rPr>
        <w:tab/>
        <w:t xml:space="preserve">Chen, Y. </w:t>
      </w:r>
      <w:r w:rsidRPr="00E16A68">
        <w:rPr>
          <w:rFonts w:ascii="Arial" w:hAnsi="Arial" w:cs="Arial"/>
          <w:i/>
          <w:iCs/>
        </w:rPr>
        <w:t>et al.</w:t>
      </w:r>
      <w:r w:rsidRPr="00E16A68">
        <w:rPr>
          <w:rFonts w:ascii="Arial" w:hAnsi="Arial" w:cs="Arial"/>
        </w:rPr>
        <w:t xml:space="preserve"> A systematic benchmark of Nanopore long-read RNA sequencing for transcript-level analysis in human cell lines. </w:t>
      </w:r>
      <w:r w:rsidRPr="00E16A68">
        <w:rPr>
          <w:rFonts w:ascii="Arial" w:hAnsi="Arial" w:cs="Arial"/>
          <w:i/>
          <w:iCs/>
        </w:rPr>
        <w:t>Nat Methods</w:t>
      </w:r>
      <w:r w:rsidRPr="00E16A68">
        <w:rPr>
          <w:rFonts w:ascii="Arial" w:hAnsi="Arial" w:cs="Arial"/>
        </w:rPr>
        <w:t xml:space="preserve"> 1–12 (2025) doi:10.1038/s41592-025-02623-4.</w:t>
      </w:r>
    </w:p>
    <w:p w14:paraId="525D4DF5" w14:textId="77777777" w:rsidR="00E16A68" w:rsidRPr="00E16A68" w:rsidRDefault="00E16A68" w:rsidP="00E16A68">
      <w:pPr>
        <w:pStyle w:val="Bibliography"/>
        <w:rPr>
          <w:rFonts w:ascii="Arial" w:hAnsi="Arial" w:cs="Arial"/>
        </w:rPr>
      </w:pPr>
      <w:r w:rsidRPr="00E16A68">
        <w:rPr>
          <w:rFonts w:ascii="Arial" w:hAnsi="Arial" w:cs="Arial"/>
        </w:rPr>
        <w:t>13.</w:t>
      </w:r>
      <w:r w:rsidRPr="00E16A68">
        <w:rPr>
          <w:rFonts w:ascii="Arial" w:hAnsi="Arial" w:cs="Arial"/>
        </w:rPr>
        <w:tab/>
        <w:t xml:space="preserve">Fukasawa, Y., Ermini, L., Wang, H., Carty, K. &amp; Cheung, M.-S. LongQC: A Quality Control Tool for Third Generation Sequencing Long Read Data. </w:t>
      </w:r>
      <w:r w:rsidRPr="00E16A68">
        <w:rPr>
          <w:rFonts w:ascii="Arial" w:hAnsi="Arial" w:cs="Arial"/>
          <w:i/>
          <w:iCs/>
        </w:rPr>
        <w:t>G3 (Bethesda)</w:t>
      </w:r>
      <w:r w:rsidRPr="00E16A68">
        <w:rPr>
          <w:rFonts w:ascii="Arial" w:hAnsi="Arial" w:cs="Arial"/>
        </w:rPr>
        <w:t xml:space="preserve"> </w:t>
      </w:r>
      <w:r w:rsidRPr="00E16A68">
        <w:rPr>
          <w:rFonts w:ascii="Arial" w:hAnsi="Arial" w:cs="Arial"/>
          <w:b/>
          <w:bCs/>
        </w:rPr>
        <w:t>10</w:t>
      </w:r>
      <w:r w:rsidRPr="00E16A68">
        <w:rPr>
          <w:rFonts w:ascii="Arial" w:hAnsi="Arial" w:cs="Arial"/>
        </w:rPr>
        <w:t>, 1193–1196 (2020).</w:t>
      </w:r>
    </w:p>
    <w:p w14:paraId="60848C2A" w14:textId="77777777" w:rsidR="00E16A68" w:rsidRPr="00E16A68" w:rsidRDefault="00E16A68" w:rsidP="00E16A68">
      <w:pPr>
        <w:pStyle w:val="Bibliography"/>
        <w:rPr>
          <w:rFonts w:ascii="Arial" w:hAnsi="Arial" w:cs="Arial"/>
        </w:rPr>
      </w:pPr>
      <w:r w:rsidRPr="00E16A68">
        <w:rPr>
          <w:rFonts w:ascii="Arial" w:hAnsi="Arial" w:cs="Arial"/>
        </w:rPr>
        <w:t>14.</w:t>
      </w:r>
      <w:r w:rsidRPr="00E16A68">
        <w:rPr>
          <w:rFonts w:ascii="Arial" w:hAnsi="Arial" w:cs="Arial"/>
        </w:rPr>
        <w:tab/>
        <w:t xml:space="preserve">Keil, N., Monzó, C., McIntyre, L. &amp; Conesa, A. SQANTI-reads: a tool for the quality assessment of long read data in multi-sample lrRNA-seq experiments. </w:t>
      </w:r>
      <w:r w:rsidRPr="00E16A68">
        <w:rPr>
          <w:rFonts w:ascii="Arial" w:hAnsi="Arial" w:cs="Arial"/>
          <w:i/>
          <w:iCs/>
        </w:rPr>
        <w:t>bioRxiv</w:t>
      </w:r>
      <w:r w:rsidRPr="00E16A68">
        <w:rPr>
          <w:rFonts w:ascii="Arial" w:hAnsi="Arial" w:cs="Arial"/>
        </w:rPr>
        <w:t xml:space="preserve"> 2024.08.23.609463 (2024) doi:10.1101/2024.08.23.609463.</w:t>
      </w:r>
    </w:p>
    <w:p w14:paraId="58021121" w14:textId="77777777" w:rsidR="00E16A68" w:rsidRPr="00E16A68" w:rsidRDefault="00E16A68" w:rsidP="00E16A68">
      <w:pPr>
        <w:pStyle w:val="Bibliography"/>
        <w:rPr>
          <w:rFonts w:ascii="Arial" w:hAnsi="Arial" w:cs="Arial"/>
        </w:rPr>
      </w:pPr>
      <w:r w:rsidRPr="00E16A68">
        <w:rPr>
          <w:rFonts w:ascii="Arial" w:hAnsi="Arial" w:cs="Arial"/>
        </w:rPr>
        <w:t>15.</w:t>
      </w:r>
      <w:r w:rsidRPr="00E16A68">
        <w:rPr>
          <w:rFonts w:ascii="Arial" w:hAnsi="Arial" w:cs="Arial"/>
        </w:rPr>
        <w:tab/>
        <w:t xml:space="preserve">Leger, A. &amp; Leonardi, T. pycoQC, interactive quality control for Oxford Nanopore Sequencing. </w:t>
      </w:r>
      <w:r w:rsidRPr="00E16A68">
        <w:rPr>
          <w:rFonts w:ascii="Arial" w:hAnsi="Arial" w:cs="Arial"/>
          <w:i/>
          <w:iCs/>
        </w:rPr>
        <w:t>Journal of Open Source Software</w:t>
      </w:r>
      <w:r w:rsidRPr="00E16A68">
        <w:rPr>
          <w:rFonts w:ascii="Arial" w:hAnsi="Arial" w:cs="Arial"/>
        </w:rPr>
        <w:t xml:space="preserve"> </w:t>
      </w:r>
      <w:r w:rsidRPr="00E16A68">
        <w:rPr>
          <w:rFonts w:ascii="Arial" w:hAnsi="Arial" w:cs="Arial"/>
          <w:b/>
          <w:bCs/>
        </w:rPr>
        <w:t>4</w:t>
      </w:r>
      <w:r w:rsidRPr="00E16A68">
        <w:rPr>
          <w:rFonts w:ascii="Arial" w:hAnsi="Arial" w:cs="Arial"/>
        </w:rPr>
        <w:t>, 1236 (2019).</w:t>
      </w:r>
    </w:p>
    <w:p w14:paraId="62581214" w14:textId="77777777" w:rsidR="00E16A68" w:rsidRPr="00E16A68" w:rsidRDefault="00E16A68" w:rsidP="00E16A68">
      <w:pPr>
        <w:pStyle w:val="Bibliography"/>
        <w:rPr>
          <w:rFonts w:ascii="Arial" w:hAnsi="Arial" w:cs="Arial"/>
        </w:rPr>
      </w:pPr>
      <w:r w:rsidRPr="00E16A68">
        <w:rPr>
          <w:rFonts w:ascii="Arial" w:hAnsi="Arial" w:cs="Arial"/>
        </w:rPr>
        <w:t>16.</w:t>
      </w:r>
      <w:r w:rsidRPr="00E16A68">
        <w:rPr>
          <w:rFonts w:ascii="Arial" w:hAnsi="Arial" w:cs="Arial"/>
        </w:rPr>
        <w:tab/>
        <w:t xml:space="preserve">Pardo-Palacios, F. J. </w:t>
      </w:r>
      <w:r w:rsidRPr="00E16A68">
        <w:rPr>
          <w:rFonts w:ascii="Arial" w:hAnsi="Arial" w:cs="Arial"/>
          <w:i/>
          <w:iCs/>
        </w:rPr>
        <w:t>et al.</w:t>
      </w:r>
      <w:r w:rsidRPr="00E16A68">
        <w:rPr>
          <w:rFonts w:ascii="Arial" w:hAnsi="Arial" w:cs="Arial"/>
        </w:rPr>
        <w:t xml:space="preserve"> SQANTI3: curation of long-read transcriptomes for accurate identification of known and novel isoforms. </w:t>
      </w:r>
      <w:r w:rsidRPr="00E16A68">
        <w:rPr>
          <w:rFonts w:ascii="Arial" w:hAnsi="Arial" w:cs="Arial"/>
          <w:i/>
          <w:iCs/>
        </w:rPr>
        <w:t>Nat Methods</w:t>
      </w:r>
      <w:r w:rsidRPr="00E16A68">
        <w:rPr>
          <w:rFonts w:ascii="Arial" w:hAnsi="Arial" w:cs="Arial"/>
        </w:rPr>
        <w:t xml:space="preserve"> </w:t>
      </w:r>
      <w:r w:rsidRPr="00E16A68">
        <w:rPr>
          <w:rFonts w:ascii="Arial" w:hAnsi="Arial" w:cs="Arial"/>
          <w:b/>
          <w:bCs/>
        </w:rPr>
        <w:t>21</w:t>
      </w:r>
      <w:r w:rsidRPr="00E16A68">
        <w:rPr>
          <w:rFonts w:ascii="Arial" w:hAnsi="Arial" w:cs="Arial"/>
        </w:rPr>
        <w:t>, 793–797 (2024).</w:t>
      </w:r>
    </w:p>
    <w:p w14:paraId="67BA631A" w14:textId="77777777" w:rsidR="00E16A68" w:rsidRPr="00E16A68" w:rsidRDefault="00E16A68" w:rsidP="00E16A68">
      <w:pPr>
        <w:pStyle w:val="Bibliography"/>
        <w:rPr>
          <w:rFonts w:ascii="Arial" w:hAnsi="Arial" w:cs="Arial"/>
        </w:rPr>
      </w:pPr>
      <w:r w:rsidRPr="00E16A68">
        <w:rPr>
          <w:rFonts w:ascii="Arial" w:hAnsi="Arial" w:cs="Arial"/>
        </w:rPr>
        <w:t>17.</w:t>
      </w:r>
      <w:r w:rsidRPr="00E16A68">
        <w:rPr>
          <w:rFonts w:ascii="Arial" w:hAnsi="Arial" w:cs="Arial"/>
        </w:rPr>
        <w:tab/>
        <w:t xml:space="preserve">Simão, F. A., Waterhouse, R. M., Ioannidis, P., Kriventseva, E. V. &amp; Zdobnov, E. M. BUSCO: assessing genome assembly and annotation completeness with single-copy orthologs. </w:t>
      </w:r>
      <w:r w:rsidRPr="00E16A68">
        <w:rPr>
          <w:rFonts w:ascii="Arial" w:hAnsi="Arial" w:cs="Arial"/>
          <w:i/>
          <w:iCs/>
        </w:rPr>
        <w:t>Bioinformatics</w:t>
      </w:r>
      <w:r w:rsidRPr="00E16A68">
        <w:rPr>
          <w:rFonts w:ascii="Arial" w:hAnsi="Arial" w:cs="Arial"/>
        </w:rPr>
        <w:t xml:space="preserve"> </w:t>
      </w:r>
      <w:r w:rsidRPr="00E16A68">
        <w:rPr>
          <w:rFonts w:ascii="Arial" w:hAnsi="Arial" w:cs="Arial"/>
          <w:b/>
          <w:bCs/>
        </w:rPr>
        <w:t>31</w:t>
      </w:r>
      <w:r w:rsidRPr="00E16A68">
        <w:rPr>
          <w:rFonts w:ascii="Arial" w:hAnsi="Arial" w:cs="Arial"/>
        </w:rPr>
        <w:t>, 3210–3212 (2015).</w:t>
      </w:r>
    </w:p>
    <w:p w14:paraId="7478D47A" w14:textId="77777777" w:rsidR="00E16A68" w:rsidRPr="00E16A68" w:rsidRDefault="00E16A68" w:rsidP="00E16A68">
      <w:pPr>
        <w:pStyle w:val="Bibliography"/>
        <w:rPr>
          <w:rFonts w:ascii="Arial" w:hAnsi="Arial" w:cs="Arial"/>
        </w:rPr>
      </w:pPr>
      <w:r w:rsidRPr="00E16A68">
        <w:rPr>
          <w:rFonts w:ascii="Arial" w:hAnsi="Arial" w:cs="Arial"/>
        </w:rPr>
        <w:t>18.</w:t>
      </w:r>
      <w:r w:rsidRPr="00E16A68">
        <w:rPr>
          <w:rFonts w:ascii="Arial" w:hAnsi="Arial" w:cs="Arial"/>
        </w:rPr>
        <w:tab/>
        <w:t xml:space="preserve">Velasco, V. M. E. </w:t>
      </w:r>
      <w:r w:rsidRPr="00E16A68">
        <w:rPr>
          <w:rFonts w:ascii="Arial" w:hAnsi="Arial" w:cs="Arial"/>
          <w:i/>
          <w:iCs/>
        </w:rPr>
        <w:t>et al.</w:t>
      </w:r>
      <w:r w:rsidRPr="00E16A68">
        <w:rPr>
          <w:rFonts w:ascii="Arial" w:hAnsi="Arial" w:cs="Arial"/>
        </w:rPr>
        <w:t xml:space="preserve"> A long-read and short-read transcriptomics approach provides the first high-quality reference transcriptome and genome annotation for Pseudotsuga menziesii (Douglas-fir). </w:t>
      </w:r>
      <w:r w:rsidRPr="00E16A68">
        <w:rPr>
          <w:rFonts w:ascii="Arial" w:hAnsi="Arial" w:cs="Arial"/>
          <w:i/>
          <w:iCs/>
        </w:rPr>
        <w:t>G3 (Bethesda)</w:t>
      </w:r>
      <w:r w:rsidRPr="00E16A68">
        <w:rPr>
          <w:rFonts w:ascii="Arial" w:hAnsi="Arial" w:cs="Arial"/>
        </w:rPr>
        <w:t xml:space="preserve"> </w:t>
      </w:r>
      <w:r w:rsidRPr="00E16A68">
        <w:rPr>
          <w:rFonts w:ascii="Arial" w:hAnsi="Arial" w:cs="Arial"/>
          <w:b/>
          <w:bCs/>
        </w:rPr>
        <w:t>13</w:t>
      </w:r>
      <w:r w:rsidRPr="00E16A68">
        <w:rPr>
          <w:rFonts w:ascii="Arial" w:hAnsi="Arial" w:cs="Arial"/>
        </w:rPr>
        <w:t>, jkac304 (2022).</w:t>
      </w:r>
    </w:p>
    <w:p w14:paraId="5A7C4C12" w14:textId="77777777" w:rsidR="00E16A68" w:rsidRPr="00E16A68" w:rsidRDefault="00E16A68" w:rsidP="00E16A68">
      <w:pPr>
        <w:pStyle w:val="Bibliography"/>
        <w:rPr>
          <w:rFonts w:ascii="Arial" w:hAnsi="Arial" w:cs="Arial"/>
        </w:rPr>
      </w:pPr>
      <w:r w:rsidRPr="00E16A68">
        <w:rPr>
          <w:rFonts w:ascii="Arial" w:hAnsi="Arial" w:cs="Arial"/>
        </w:rPr>
        <w:t>19.</w:t>
      </w:r>
      <w:r w:rsidRPr="00E16A68">
        <w:rPr>
          <w:rFonts w:ascii="Arial" w:hAnsi="Arial" w:cs="Arial"/>
        </w:rPr>
        <w:tab/>
        <w:t xml:space="preserve">Nip, K. M. </w:t>
      </w:r>
      <w:r w:rsidRPr="00E16A68">
        <w:rPr>
          <w:rFonts w:ascii="Arial" w:hAnsi="Arial" w:cs="Arial"/>
          <w:i/>
          <w:iCs/>
        </w:rPr>
        <w:t>et al.</w:t>
      </w:r>
      <w:r w:rsidRPr="00E16A68">
        <w:rPr>
          <w:rFonts w:ascii="Arial" w:hAnsi="Arial" w:cs="Arial"/>
        </w:rPr>
        <w:t xml:space="preserve"> Reference-free assembly of long-read transcriptome sequencing data with RNA-Bloom2. </w:t>
      </w:r>
      <w:r w:rsidRPr="00E16A68">
        <w:rPr>
          <w:rFonts w:ascii="Arial" w:hAnsi="Arial" w:cs="Arial"/>
          <w:i/>
          <w:iCs/>
        </w:rPr>
        <w:t>Nat Commun</w:t>
      </w:r>
      <w:r w:rsidRPr="00E16A68">
        <w:rPr>
          <w:rFonts w:ascii="Arial" w:hAnsi="Arial" w:cs="Arial"/>
        </w:rPr>
        <w:t xml:space="preserve"> </w:t>
      </w:r>
      <w:r w:rsidRPr="00E16A68">
        <w:rPr>
          <w:rFonts w:ascii="Arial" w:hAnsi="Arial" w:cs="Arial"/>
          <w:b/>
          <w:bCs/>
        </w:rPr>
        <w:t>14</w:t>
      </w:r>
      <w:r w:rsidRPr="00E16A68">
        <w:rPr>
          <w:rFonts w:ascii="Arial" w:hAnsi="Arial" w:cs="Arial"/>
        </w:rPr>
        <w:t>, 2940 (2023).</w:t>
      </w:r>
    </w:p>
    <w:p w14:paraId="6D7F4333" w14:textId="77777777" w:rsidR="00E16A68" w:rsidRPr="00E16A68" w:rsidRDefault="00E16A68" w:rsidP="00E16A68">
      <w:pPr>
        <w:pStyle w:val="Bibliography"/>
        <w:rPr>
          <w:rFonts w:ascii="Arial" w:hAnsi="Arial" w:cs="Arial"/>
        </w:rPr>
      </w:pPr>
      <w:r w:rsidRPr="00E16A68">
        <w:rPr>
          <w:rFonts w:ascii="Arial" w:hAnsi="Arial" w:cs="Arial"/>
        </w:rPr>
        <w:lastRenderedPageBreak/>
        <w:t>20.</w:t>
      </w:r>
      <w:r w:rsidRPr="00E16A68">
        <w:rPr>
          <w:rFonts w:ascii="Arial" w:hAnsi="Arial" w:cs="Arial"/>
        </w:rPr>
        <w:tab/>
        <w:t xml:space="preserve">Pardo-Palacios, F. J. </w:t>
      </w:r>
      <w:r w:rsidRPr="00E16A68">
        <w:rPr>
          <w:rFonts w:ascii="Arial" w:hAnsi="Arial" w:cs="Arial"/>
          <w:i/>
          <w:iCs/>
        </w:rPr>
        <w:t>et al.</w:t>
      </w:r>
      <w:r w:rsidRPr="00E16A68">
        <w:rPr>
          <w:rFonts w:ascii="Arial" w:hAnsi="Arial" w:cs="Arial"/>
        </w:rPr>
        <w:t xml:space="preserve"> Systematic assessment of long-read RNA-seq methods for transcript identification and quantification. </w:t>
      </w:r>
      <w:r w:rsidRPr="00E16A68">
        <w:rPr>
          <w:rFonts w:ascii="Arial" w:hAnsi="Arial" w:cs="Arial"/>
          <w:i/>
          <w:iCs/>
        </w:rPr>
        <w:t>Nat Methods</w:t>
      </w:r>
      <w:r w:rsidRPr="00E16A68">
        <w:rPr>
          <w:rFonts w:ascii="Arial" w:hAnsi="Arial" w:cs="Arial"/>
        </w:rPr>
        <w:t xml:space="preserve"> </w:t>
      </w:r>
      <w:r w:rsidRPr="00E16A68">
        <w:rPr>
          <w:rFonts w:ascii="Arial" w:hAnsi="Arial" w:cs="Arial"/>
          <w:b/>
          <w:bCs/>
        </w:rPr>
        <w:t>21</w:t>
      </w:r>
      <w:r w:rsidRPr="00E16A68">
        <w:rPr>
          <w:rFonts w:ascii="Arial" w:hAnsi="Arial" w:cs="Arial"/>
        </w:rPr>
        <w:t>, 1349–1363 (2024).</w:t>
      </w:r>
    </w:p>
    <w:p w14:paraId="4641F49D" w14:textId="77777777" w:rsidR="00E16A68" w:rsidRPr="00E16A68" w:rsidRDefault="00E16A68" w:rsidP="00E16A68">
      <w:pPr>
        <w:pStyle w:val="Bibliography"/>
        <w:rPr>
          <w:rFonts w:ascii="Arial" w:hAnsi="Arial" w:cs="Arial"/>
        </w:rPr>
      </w:pPr>
      <w:r w:rsidRPr="00E16A68">
        <w:rPr>
          <w:rFonts w:ascii="Arial" w:hAnsi="Arial" w:cs="Arial"/>
        </w:rPr>
        <w:t>21.</w:t>
      </w:r>
      <w:r w:rsidRPr="00E16A68">
        <w:rPr>
          <w:rFonts w:ascii="Arial" w:hAnsi="Arial" w:cs="Arial"/>
        </w:rPr>
        <w:tab/>
        <w:t xml:space="preserve">Nenasheva, N. </w:t>
      </w:r>
      <w:r w:rsidRPr="00E16A68">
        <w:rPr>
          <w:rFonts w:ascii="Arial" w:hAnsi="Arial" w:cs="Arial"/>
          <w:i/>
          <w:iCs/>
        </w:rPr>
        <w:t>et al.</w:t>
      </w:r>
      <w:r w:rsidRPr="00E16A68">
        <w:rPr>
          <w:rFonts w:ascii="Arial" w:hAnsi="Arial" w:cs="Arial"/>
        </w:rPr>
        <w:t xml:space="preserve"> Annotation of protein-coding genes in 49 diatom genomes from the Bacillariophyta clade. Preprint at https://doi.org/10.48550/arXiv.2410.05467 (2024).</w:t>
      </w:r>
    </w:p>
    <w:p w14:paraId="6B51F2E4" w14:textId="77777777" w:rsidR="00E16A68" w:rsidRPr="00E16A68" w:rsidRDefault="00E16A68" w:rsidP="00E16A68">
      <w:pPr>
        <w:pStyle w:val="Bibliography"/>
        <w:rPr>
          <w:rFonts w:ascii="Arial" w:hAnsi="Arial" w:cs="Arial"/>
        </w:rPr>
      </w:pPr>
      <w:r w:rsidRPr="00E16A68">
        <w:rPr>
          <w:rFonts w:ascii="Arial" w:hAnsi="Arial" w:cs="Arial"/>
        </w:rPr>
        <w:t>22.</w:t>
      </w:r>
      <w:r w:rsidRPr="00E16A68">
        <w:rPr>
          <w:rFonts w:ascii="Arial" w:hAnsi="Arial" w:cs="Arial"/>
        </w:rPr>
        <w:tab/>
        <w:t xml:space="preserve">Paniagua, A. </w:t>
      </w:r>
      <w:r w:rsidRPr="00E16A68">
        <w:rPr>
          <w:rFonts w:ascii="Arial" w:hAnsi="Arial" w:cs="Arial"/>
          <w:i/>
          <w:iCs/>
        </w:rPr>
        <w:t>et al.</w:t>
      </w:r>
      <w:r w:rsidRPr="00E16A68">
        <w:rPr>
          <w:rFonts w:ascii="Arial" w:hAnsi="Arial" w:cs="Arial"/>
        </w:rPr>
        <w:t xml:space="preserve"> Evaluation of strategies for evidence-driven genome annotation using long-read RNA-seq. </w:t>
      </w:r>
      <w:r w:rsidRPr="00E16A68">
        <w:rPr>
          <w:rFonts w:ascii="Arial" w:hAnsi="Arial" w:cs="Arial"/>
          <w:i/>
          <w:iCs/>
        </w:rPr>
        <w:t>Genome Res.</w:t>
      </w:r>
      <w:r w:rsidRPr="00E16A68">
        <w:rPr>
          <w:rFonts w:ascii="Arial" w:hAnsi="Arial" w:cs="Arial"/>
        </w:rPr>
        <w:t xml:space="preserve"> </w:t>
      </w:r>
      <w:r w:rsidRPr="00E16A68">
        <w:rPr>
          <w:rFonts w:ascii="Arial" w:hAnsi="Arial" w:cs="Arial"/>
          <w:b/>
          <w:bCs/>
        </w:rPr>
        <w:t>35</w:t>
      </w:r>
      <w:r w:rsidRPr="00E16A68">
        <w:rPr>
          <w:rFonts w:ascii="Arial" w:hAnsi="Arial" w:cs="Arial"/>
        </w:rPr>
        <w:t>, 1053–1064 (2025).</w:t>
      </w:r>
    </w:p>
    <w:p w14:paraId="41DFF616" w14:textId="77777777" w:rsidR="00E16A68" w:rsidRPr="00E16A68" w:rsidRDefault="00E16A68" w:rsidP="00E16A68">
      <w:pPr>
        <w:pStyle w:val="Bibliography"/>
        <w:rPr>
          <w:rFonts w:ascii="Arial" w:hAnsi="Arial" w:cs="Arial"/>
        </w:rPr>
      </w:pPr>
      <w:r w:rsidRPr="00E16A68">
        <w:rPr>
          <w:rFonts w:ascii="Arial" w:hAnsi="Arial" w:cs="Arial"/>
        </w:rPr>
        <w:t>23.</w:t>
      </w:r>
      <w:r w:rsidRPr="00E16A68">
        <w:rPr>
          <w:rFonts w:ascii="Arial" w:hAnsi="Arial" w:cs="Arial"/>
        </w:rPr>
        <w:tab/>
        <w:t xml:space="preserve">Jiang, L. </w:t>
      </w:r>
      <w:r w:rsidRPr="00E16A68">
        <w:rPr>
          <w:rFonts w:ascii="Arial" w:hAnsi="Arial" w:cs="Arial"/>
          <w:i/>
          <w:iCs/>
        </w:rPr>
        <w:t>et al.</w:t>
      </w:r>
      <w:r w:rsidRPr="00E16A68">
        <w:rPr>
          <w:rFonts w:ascii="Arial" w:hAnsi="Arial" w:cs="Arial"/>
        </w:rPr>
        <w:t xml:space="preserve"> Synthetic spike-in standards for RNA-seq experiments. </w:t>
      </w:r>
      <w:r w:rsidRPr="00E16A68">
        <w:rPr>
          <w:rFonts w:ascii="Arial" w:hAnsi="Arial" w:cs="Arial"/>
          <w:i/>
          <w:iCs/>
        </w:rPr>
        <w:t>Genome Res</w:t>
      </w:r>
      <w:r w:rsidRPr="00E16A68">
        <w:rPr>
          <w:rFonts w:ascii="Arial" w:hAnsi="Arial" w:cs="Arial"/>
        </w:rPr>
        <w:t xml:space="preserve"> </w:t>
      </w:r>
      <w:r w:rsidRPr="00E16A68">
        <w:rPr>
          <w:rFonts w:ascii="Arial" w:hAnsi="Arial" w:cs="Arial"/>
          <w:b/>
          <w:bCs/>
        </w:rPr>
        <w:t>21</w:t>
      </w:r>
      <w:r w:rsidRPr="00E16A68">
        <w:rPr>
          <w:rFonts w:ascii="Arial" w:hAnsi="Arial" w:cs="Arial"/>
        </w:rPr>
        <w:t>, 1543–1551 (2011).</w:t>
      </w:r>
    </w:p>
    <w:p w14:paraId="47F07AFD" w14:textId="77777777" w:rsidR="00E16A68" w:rsidRPr="00E16A68" w:rsidRDefault="00E16A68" w:rsidP="00E16A68">
      <w:pPr>
        <w:pStyle w:val="Bibliography"/>
        <w:rPr>
          <w:rFonts w:ascii="Arial" w:hAnsi="Arial" w:cs="Arial"/>
        </w:rPr>
      </w:pPr>
      <w:r w:rsidRPr="00E16A68">
        <w:rPr>
          <w:rFonts w:ascii="Arial" w:hAnsi="Arial" w:cs="Arial"/>
        </w:rPr>
        <w:t>24.</w:t>
      </w:r>
      <w:r w:rsidRPr="00E16A68">
        <w:rPr>
          <w:rFonts w:ascii="Arial" w:hAnsi="Arial" w:cs="Arial"/>
        </w:rPr>
        <w:tab/>
        <w:t xml:space="preserve">Hardwick, S. A. </w:t>
      </w:r>
      <w:r w:rsidRPr="00E16A68">
        <w:rPr>
          <w:rFonts w:ascii="Arial" w:hAnsi="Arial" w:cs="Arial"/>
          <w:i/>
          <w:iCs/>
        </w:rPr>
        <w:t>et al.</w:t>
      </w:r>
      <w:r w:rsidRPr="00E16A68">
        <w:rPr>
          <w:rFonts w:ascii="Arial" w:hAnsi="Arial" w:cs="Arial"/>
        </w:rPr>
        <w:t xml:space="preserve"> Spliced synthetic genes as internal controls in RNA sequencing experiments. </w:t>
      </w:r>
      <w:r w:rsidRPr="00E16A68">
        <w:rPr>
          <w:rFonts w:ascii="Arial" w:hAnsi="Arial" w:cs="Arial"/>
          <w:i/>
          <w:iCs/>
        </w:rPr>
        <w:t>Nat Methods</w:t>
      </w:r>
      <w:r w:rsidRPr="00E16A68">
        <w:rPr>
          <w:rFonts w:ascii="Arial" w:hAnsi="Arial" w:cs="Arial"/>
        </w:rPr>
        <w:t xml:space="preserve"> </w:t>
      </w:r>
      <w:r w:rsidRPr="00E16A68">
        <w:rPr>
          <w:rFonts w:ascii="Arial" w:hAnsi="Arial" w:cs="Arial"/>
          <w:b/>
          <w:bCs/>
        </w:rPr>
        <w:t>13</w:t>
      </w:r>
      <w:r w:rsidRPr="00E16A68">
        <w:rPr>
          <w:rFonts w:ascii="Arial" w:hAnsi="Arial" w:cs="Arial"/>
        </w:rPr>
        <w:t>, 792–798 (2016).</w:t>
      </w:r>
    </w:p>
    <w:p w14:paraId="6FAB234F" w14:textId="77777777" w:rsidR="00E16A68" w:rsidRPr="00E16A68" w:rsidRDefault="00E16A68" w:rsidP="00E16A68">
      <w:pPr>
        <w:pStyle w:val="Bibliography"/>
        <w:rPr>
          <w:rFonts w:ascii="Arial" w:hAnsi="Arial" w:cs="Arial"/>
        </w:rPr>
      </w:pPr>
      <w:r w:rsidRPr="00E16A68">
        <w:rPr>
          <w:rFonts w:ascii="Arial" w:hAnsi="Arial" w:cs="Arial"/>
        </w:rPr>
        <w:t>25.</w:t>
      </w:r>
      <w:r w:rsidRPr="00E16A68">
        <w:rPr>
          <w:rFonts w:ascii="Arial" w:hAnsi="Arial" w:cs="Arial"/>
        </w:rPr>
        <w:tab/>
        <w:t>Coombe, L. &amp; Hafezqorani, S. NanoSim pre-trained model: Human giab - AshkenaziTrio - Son - NA24385 - HG002 - Kit V14 - R10 - basecalled by dorado. (2023).</w:t>
      </w:r>
    </w:p>
    <w:p w14:paraId="13768104" w14:textId="77777777" w:rsidR="00E16A68" w:rsidRPr="00E16A68" w:rsidRDefault="00E16A68" w:rsidP="00E16A68">
      <w:pPr>
        <w:pStyle w:val="Bibliography"/>
        <w:rPr>
          <w:rFonts w:ascii="Arial" w:hAnsi="Arial" w:cs="Arial"/>
        </w:rPr>
      </w:pPr>
      <w:r w:rsidRPr="00E16A68">
        <w:rPr>
          <w:rFonts w:ascii="Arial" w:hAnsi="Arial" w:cs="Arial"/>
        </w:rPr>
        <w:t>26.</w:t>
      </w:r>
      <w:r w:rsidRPr="00E16A68">
        <w:rPr>
          <w:rFonts w:ascii="Arial" w:hAnsi="Arial" w:cs="Arial"/>
        </w:rPr>
        <w:tab/>
        <w:t xml:space="preserve">Ono, Y., Hamada, M. &amp; Asai, K. PBSIM3: a simulator for all types of PacBio and ONT long reads. </w:t>
      </w:r>
      <w:r w:rsidRPr="00E16A68">
        <w:rPr>
          <w:rFonts w:ascii="Arial" w:hAnsi="Arial" w:cs="Arial"/>
          <w:i/>
          <w:iCs/>
        </w:rPr>
        <w:t>NAR Genomics and Bioinformatics</w:t>
      </w:r>
      <w:r w:rsidRPr="00E16A68">
        <w:rPr>
          <w:rFonts w:ascii="Arial" w:hAnsi="Arial" w:cs="Arial"/>
        </w:rPr>
        <w:t xml:space="preserve"> </w:t>
      </w:r>
      <w:r w:rsidRPr="00E16A68">
        <w:rPr>
          <w:rFonts w:ascii="Arial" w:hAnsi="Arial" w:cs="Arial"/>
          <w:b/>
          <w:bCs/>
        </w:rPr>
        <w:t>4</w:t>
      </w:r>
      <w:r w:rsidRPr="00E16A68">
        <w:rPr>
          <w:rFonts w:ascii="Arial" w:hAnsi="Arial" w:cs="Arial"/>
        </w:rPr>
        <w:t>, lqac092 (2022).</w:t>
      </w:r>
    </w:p>
    <w:p w14:paraId="44403EE9" w14:textId="77777777" w:rsidR="00E16A68" w:rsidRPr="00E16A68" w:rsidRDefault="00E16A68" w:rsidP="00E16A68">
      <w:pPr>
        <w:pStyle w:val="Bibliography"/>
        <w:rPr>
          <w:rFonts w:ascii="Arial" w:hAnsi="Arial" w:cs="Arial"/>
        </w:rPr>
      </w:pPr>
      <w:r w:rsidRPr="00E16A68">
        <w:rPr>
          <w:rFonts w:ascii="Arial" w:hAnsi="Arial" w:cs="Arial"/>
        </w:rPr>
        <w:t>27.</w:t>
      </w:r>
      <w:r w:rsidRPr="00E16A68">
        <w:rPr>
          <w:rFonts w:ascii="Arial" w:hAnsi="Arial" w:cs="Arial"/>
        </w:rPr>
        <w:tab/>
        <w:t xml:space="preserve">Mestre-Tomás, J., Liu, T., Pardo-Palacios, F. &amp; Conesa, A. SQANTI-SIM: a simulator of controlled transcript novelty for lrRNA-seq benchmark. </w:t>
      </w:r>
      <w:r w:rsidRPr="00E16A68">
        <w:rPr>
          <w:rFonts w:ascii="Arial" w:hAnsi="Arial" w:cs="Arial"/>
          <w:i/>
          <w:iCs/>
        </w:rPr>
        <w:t>Genome Biology</w:t>
      </w:r>
      <w:r w:rsidRPr="00E16A68">
        <w:rPr>
          <w:rFonts w:ascii="Arial" w:hAnsi="Arial" w:cs="Arial"/>
        </w:rPr>
        <w:t xml:space="preserve"> </w:t>
      </w:r>
      <w:r w:rsidRPr="00E16A68">
        <w:rPr>
          <w:rFonts w:ascii="Arial" w:hAnsi="Arial" w:cs="Arial"/>
          <w:b/>
          <w:bCs/>
        </w:rPr>
        <w:t>24</w:t>
      </w:r>
      <w:r w:rsidRPr="00E16A68">
        <w:rPr>
          <w:rFonts w:ascii="Arial" w:hAnsi="Arial" w:cs="Arial"/>
        </w:rPr>
        <w:t>, 286 (2023).</w:t>
      </w:r>
    </w:p>
    <w:p w14:paraId="6FBA3CEB" w14:textId="77777777" w:rsidR="00E16A68" w:rsidRPr="00E16A68" w:rsidRDefault="00E16A68" w:rsidP="00E16A68">
      <w:pPr>
        <w:pStyle w:val="Bibliography"/>
        <w:rPr>
          <w:rFonts w:ascii="Arial" w:hAnsi="Arial" w:cs="Arial"/>
        </w:rPr>
      </w:pPr>
      <w:r w:rsidRPr="00E16A68">
        <w:rPr>
          <w:rFonts w:ascii="Arial" w:hAnsi="Arial" w:cs="Arial"/>
        </w:rPr>
        <w:t>28.</w:t>
      </w:r>
      <w:r w:rsidRPr="00E16A68">
        <w:rPr>
          <w:rFonts w:ascii="Arial" w:hAnsi="Arial" w:cs="Arial"/>
        </w:rPr>
        <w:tab/>
        <w:t xml:space="preserve">Wilks, C. </w:t>
      </w:r>
      <w:r w:rsidRPr="00E16A68">
        <w:rPr>
          <w:rFonts w:ascii="Arial" w:hAnsi="Arial" w:cs="Arial"/>
          <w:i/>
          <w:iCs/>
        </w:rPr>
        <w:t>et al.</w:t>
      </w:r>
      <w:r w:rsidRPr="00E16A68">
        <w:rPr>
          <w:rFonts w:ascii="Arial" w:hAnsi="Arial" w:cs="Arial"/>
        </w:rPr>
        <w:t xml:space="preserve"> recount3: summaries and queries for large-scale RNA-seq expression and splicing. </w:t>
      </w:r>
      <w:r w:rsidRPr="00E16A68">
        <w:rPr>
          <w:rFonts w:ascii="Arial" w:hAnsi="Arial" w:cs="Arial"/>
          <w:i/>
          <w:iCs/>
        </w:rPr>
        <w:t>Genome Biology</w:t>
      </w:r>
      <w:r w:rsidRPr="00E16A68">
        <w:rPr>
          <w:rFonts w:ascii="Arial" w:hAnsi="Arial" w:cs="Arial"/>
        </w:rPr>
        <w:t xml:space="preserve"> </w:t>
      </w:r>
      <w:r w:rsidRPr="00E16A68">
        <w:rPr>
          <w:rFonts w:ascii="Arial" w:hAnsi="Arial" w:cs="Arial"/>
          <w:b/>
          <w:bCs/>
        </w:rPr>
        <w:t>22</w:t>
      </w:r>
      <w:r w:rsidRPr="00E16A68">
        <w:rPr>
          <w:rFonts w:ascii="Arial" w:hAnsi="Arial" w:cs="Arial"/>
        </w:rPr>
        <w:t>, 323 (2021).</w:t>
      </w:r>
    </w:p>
    <w:p w14:paraId="56C00020" w14:textId="77777777" w:rsidR="00E16A68" w:rsidRPr="00E16A68" w:rsidRDefault="00E16A68" w:rsidP="00E16A68">
      <w:pPr>
        <w:pStyle w:val="Bibliography"/>
        <w:rPr>
          <w:rFonts w:ascii="Arial" w:hAnsi="Arial" w:cs="Arial"/>
        </w:rPr>
      </w:pPr>
      <w:r w:rsidRPr="00E16A68">
        <w:rPr>
          <w:rFonts w:ascii="Arial" w:hAnsi="Arial" w:cs="Arial"/>
        </w:rPr>
        <w:t>29.</w:t>
      </w:r>
      <w:r w:rsidRPr="00E16A68">
        <w:rPr>
          <w:rFonts w:ascii="Arial" w:hAnsi="Arial" w:cs="Arial"/>
        </w:rPr>
        <w:tab/>
        <w:t xml:space="preserve">Mudge, J. M. </w:t>
      </w:r>
      <w:r w:rsidRPr="00E16A68">
        <w:rPr>
          <w:rFonts w:ascii="Arial" w:hAnsi="Arial" w:cs="Arial"/>
          <w:i/>
          <w:iCs/>
        </w:rPr>
        <w:t>et al.</w:t>
      </w:r>
      <w:r w:rsidRPr="00E16A68">
        <w:rPr>
          <w:rFonts w:ascii="Arial" w:hAnsi="Arial" w:cs="Arial"/>
        </w:rPr>
        <w:t xml:space="preserve"> GENCODE 2025: reference gene annotation for human and mouse. </w:t>
      </w:r>
      <w:r w:rsidRPr="00E16A68">
        <w:rPr>
          <w:rFonts w:ascii="Arial" w:hAnsi="Arial" w:cs="Arial"/>
          <w:i/>
          <w:iCs/>
        </w:rPr>
        <w:t>Nucleic Acids Research</w:t>
      </w:r>
      <w:r w:rsidRPr="00E16A68">
        <w:rPr>
          <w:rFonts w:ascii="Arial" w:hAnsi="Arial" w:cs="Arial"/>
        </w:rPr>
        <w:t xml:space="preserve"> </w:t>
      </w:r>
      <w:r w:rsidRPr="00E16A68">
        <w:rPr>
          <w:rFonts w:ascii="Arial" w:hAnsi="Arial" w:cs="Arial"/>
          <w:b/>
          <w:bCs/>
        </w:rPr>
        <w:t>53</w:t>
      </w:r>
      <w:r w:rsidRPr="00E16A68">
        <w:rPr>
          <w:rFonts w:ascii="Arial" w:hAnsi="Arial" w:cs="Arial"/>
        </w:rPr>
        <w:t>, D966–D975 (2025).</w:t>
      </w:r>
    </w:p>
    <w:p w14:paraId="1ED1B61A" w14:textId="77777777" w:rsidR="00E16A68" w:rsidRPr="00E16A68" w:rsidRDefault="00E16A68" w:rsidP="00E16A68">
      <w:pPr>
        <w:pStyle w:val="Bibliography"/>
        <w:rPr>
          <w:rFonts w:ascii="Arial" w:hAnsi="Arial" w:cs="Arial"/>
        </w:rPr>
      </w:pPr>
      <w:r w:rsidRPr="00E16A68">
        <w:rPr>
          <w:rFonts w:ascii="Arial" w:hAnsi="Arial" w:cs="Arial"/>
        </w:rPr>
        <w:t>30.</w:t>
      </w:r>
      <w:r w:rsidRPr="00E16A68">
        <w:rPr>
          <w:rFonts w:ascii="Arial" w:hAnsi="Arial" w:cs="Arial"/>
        </w:rPr>
        <w:tab/>
        <w:t xml:space="preserve">Goldfarb, T. </w:t>
      </w:r>
      <w:r w:rsidRPr="00E16A68">
        <w:rPr>
          <w:rFonts w:ascii="Arial" w:hAnsi="Arial" w:cs="Arial"/>
          <w:i/>
          <w:iCs/>
        </w:rPr>
        <w:t>et al.</w:t>
      </w:r>
      <w:r w:rsidRPr="00E16A68">
        <w:rPr>
          <w:rFonts w:ascii="Arial" w:hAnsi="Arial" w:cs="Arial"/>
        </w:rPr>
        <w:t xml:space="preserve"> NCBI RefSeq: reference sequence standards through 25 years of curation and annotation. </w:t>
      </w:r>
      <w:r w:rsidRPr="00E16A68">
        <w:rPr>
          <w:rFonts w:ascii="Arial" w:hAnsi="Arial" w:cs="Arial"/>
          <w:i/>
          <w:iCs/>
        </w:rPr>
        <w:t>Nucleic Acids Research</w:t>
      </w:r>
      <w:r w:rsidRPr="00E16A68">
        <w:rPr>
          <w:rFonts w:ascii="Arial" w:hAnsi="Arial" w:cs="Arial"/>
        </w:rPr>
        <w:t xml:space="preserve"> </w:t>
      </w:r>
      <w:r w:rsidRPr="00E16A68">
        <w:rPr>
          <w:rFonts w:ascii="Arial" w:hAnsi="Arial" w:cs="Arial"/>
          <w:b/>
          <w:bCs/>
        </w:rPr>
        <w:t>53</w:t>
      </w:r>
      <w:r w:rsidRPr="00E16A68">
        <w:rPr>
          <w:rFonts w:ascii="Arial" w:hAnsi="Arial" w:cs="Arial"/>
        </w:rPr>
        <w:t>, D243–D257 (2025).</w:t>
      </w:r>
    </w:p>
    <w:p w14:paraId="6E43BB31" w14:textId="77777777" w:rsidR="00E16A68" w:rsidRPr="00E16A68" w:rsidRDefault="00E16A68" w:rsidP="00E16A68">
      <w:pPr>
        <w:pStyle w:val="Bibliography"/>
        <w:rPr>
          <w:rFonts w:ascii="Arial" w:hAnsi="Arial" w:cs="Arial"/>
        </w:rPr>
      </w:pPr>
      <w:r w:rsidRPr="00E16A68">
        <w:rPr>
          <w:rFonts w:ascii="Arial" w:hAnsi="Arial" w:cs="Arial"/>
        </w:rPr>
        <w:t>31.</w:t>
      </w:r>
      <w:r w:rsidRPr="00E16A68">
        <w:rPr>
          <w:rFonts w:ascii="Arial" w:hAnsi="Arial" w:cs="Arial"/>
        </w:rPr>
        <w:tab/>
        <w:t xml:space="preserve">Morales, J. </w:t>
      </w:r>
      <w:r w:rsidRPr="00E16A68">
        <w:rPr>
          <w:rFonts w:ascii="Arial" w:hAnsi="Arial" w:cs="Arial"/>
          <w:i/>
          <w:iCs/>
        </w:rPr>
        <w:t>et al.</w:t>
      </w:r>
      <w:r w:rsidRPr="00E16A68">
        <w:rPr>
          <w:rFonts w:ascii="Arial" w:hAnsi="Arial" w:cs="Arial"/>
        </w:rPr>
        <w:t xml:space="preserve"> A joint NCBI and EMBL-EBI transcript set for clinical genomics and research. </w:t>
      </w:r>
      <w:r w:rsidRPr="00E16A68">
        <w:rPr>
          <w:rFonts w:ascii="Arial" w:hAnsi="Arial" w:cs="Arial"/>
          <w:i/>
          <w:iCs/>
        </w:rPr>
        <w:t>Nature</w:t>
      </w:r>
      <w:r w:rsidRPr="00E16A68">
        <w:rPr>
          <w:rFonts w:ascii="Arial" w:hAnsi="Arial" w:cs="Arial"/>
        </w:rPr>
        <w:t xml:space="preserve"> </w:t>
      </w:r>
      <w:r w:rsidRPr="00E16A68">
        <w:rPr>
          <w:rFonts w:ascii="Arial" w:hAnsi="Arial" w:cs="Arial"/>
          <w:b/>
          <w:bCs/>
        </w:rPr>
        <w:t>604</w:t>
      </w:r>
      <w:r w:rsidRPr="00E16A68">
        <w:rPr>
          <w:rFonts w:ascii="Arial" w:hAnsi="Arial" w:cs="Arial"/>
        </w:rPr>
        <w:t>, 310–315 (2022).</w:t>
      </w:r>
    </w:p>
    <w:p w14:paraId="37712609" w14:textId="77777777" w:rsidR="00E16A68" w:rsidRPr="00E16A68" w:rsidRDefault="00E16A68" w:rsidP="00E16A68">
      <w:pPr>
        <w:pStyle w:val="Bibliography"/>
        <w:rPr>
          <w:rFonts w:ascii="Arial" w:hAnsi="Arial" w:cs="Arial"/>
        </w:rPr>
      </w:pPr>
      <w:r w:rsidRPr="00E16A68">
        <w:rPr>
          <w:rFonts w:ascii="Arial" w:hAnsi="Arial" w:cs="Arial"/>
        </w:rPr>
        <w:t>32.</w:t>
      </w:r>
      <w:r w:rsidRPr="00E16A68">
        <w:rPr>
          <w:rFonts w:ascii="Arial" w:hAnsi="Arial" w:cs="Arial"/>
        </w:rPr>
        <w:tab/>
        <w:t xml:space="preserve">García-Ruiz, S. </w:t>
      </w:r>
      <w:r w:rsidRPr="00E16A68">
        <w:rPr>
          <w:rFonts w:ascii="Arial" w:hAnsi="Arial" w:cs="Arial"/>
          <w:i/>
          <w:iCs/>
        </w:rPr>
        <w:t>et al.</w:t>
      </w:r>
      <w:r w:rsidRPr="00E16A68">
        <w:rPr>
          <w:rFonts w:ascii="Arial" w:hAnsi="Arial" w:cs="Arial"/>
        </w:rPr>
        <w:t xml:space="preserve"> IntroVerse: a comprehensive database of introns across human tissues. </w:t>
      </w:r>
      <w:r w:rsidRPr="00E16A68">
        <w:rPr>
          <w:rFonts w:ascii="Arial" w:hAnsi="Arial" w:cs="Arial"/>
          <w:i/>
          <w:iCs/>
        </w:rPr>
        <w:t>Nucleic Acids Res</w:t>
      </w:r>
      <w:r w:rsidRPr="00E16A68">
        <w:rPr>
          <w:rFonts w:ascii="Arial" w:hAnsi="Arial" w:cs="Arial"/>
        </w:rPr>
        <w:t xml:space="preserve"> </w:t>
      </w:r>
      <w:r w:rsidRPr="00E16A68">
        <w:rPr>
          <w:rFonts w:ascii="Arial" w:hAnsi="Arial" w:cs="Arial"/>
          <w:b/>
          <w:bCs/>
        </w:rPr>
        <w:t>51</w:t>
      </w:r>
      <w:r w:rsidRPr="00E16A68">
        <w:rPr>
          <w:rFonts w:ascii="Arial" w:hAnsi="Arial" w:cs="Arial"/>
        </w:rPr>
        <w:t>, D167–D178 (2023).</w:t>
      </w:r>
    </w:p>
    <w:p w14:paraId="63E90CC2" w14:textId="369D8D20" w:rsidR="009B2D58" w:rsidRPr="00A21FBB" w:rsidRDefault="0026367A" w:rsidP="00E16A68">
      <w:pPr>
        <w:pStyle w:val="Bibliography"/>
        <w:rPr>
          <w:rFonts w:ascii="Arial" w:hAnsi="Arial" w:cs="Arial"/>
        </w:rPr>
      </w:pPr>
      <w:r w:rsidRPr="00A21FBB">
        <w:rPr>
          <w:rFonts w:ascii="Arial" w:hAnsi="Arial" w:cs="Arial"/>
        </w:rPr>
        <w:fldChar w:fldCharType="end"/>
      </w:r>
    </w:p>
    <w:sectPr w:rsidR="009B2D58" w:rsidRPr="00A21F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ianyuan Liu" w:date="2025-04-09T18:30:00Z" w:initials="TL">
    <w:p w14:paraId="47C72A2E" w14:textId="77777777" w:rsidR="00017BB7" w:rsidRDefault="00017BB7" w:rsidP="00017BB7">
      <w:pPr>
        <w:jc w:val="left"/>
      </w:pPr>
      <w:r>
        <w:rPr>
          <w:rStyle w:val="CommentReference"/>
        </w:rPr>
        <w:annotationRef/>
      </w:r>
      <w:r>
        <w:rPr>
          <w:color w:val="007F7F"/>
          <w:u w:val="single"/>
        </w:rPr>
        <w:t>Order:</w:t>
      </w:r>
    </w:p>
    <w:p w14:paraId="3EAA14DB" w14:textId="77777777" w:rsidR="00017BB7" w:rsidRDefault="00017BB7" w:rsidP="00017BB7">
      <w:pPr>
        <w:jc w:val="left"/>
      </w:pPr>
      <w:r>
        <w:rPr>
          <w:color w:val="000000"/>
        </w:rPr>
        <w:t xml:space="preserve">1.     </w:t>
      </w:r>
      <w:r>
        <w:rPr>
          <w:color w:val="007F7F"/>
          <w:u w:val="single"/>
        </w:rPr>
        <w:t xml:space="preserve">Long-read sequencing is used for transcriptome reconstruction the technology has limtitations. </w:t>
      </w:r>
    </w:p>
    <w:p w14:paraId="1DEEEFD9" w14:textId="77777777" w:rsidR="00017BB7" w:rsidRDefault="00017BB7" w:rsidP="00017BB7">
      <w:pPr>
        <w:jc w:val="left"/>
      </w:pPr>
      <w:r>
        <w:rPr>
          <w:color w:val="000000"/>
        </w:rPr>
        <w:t xml:space="preserve">2.     </w:t>
      </w:r>
      <w:r>
        <w:rPr>
          <w:color w:val="007F7F"/>
          <w:u w:val="single"/>
        </w:rPr>
        <w:t xml:space="preserve">Current benchmarks such as SIRVs and BUSCO have </w:t>
      </w:r>
      <w:r>
        <w:rPr>
          <w:color w:val="000000"/>
        </w:rPr>
        <w:t>limitations such</w:t>
      </w:r>
      <w:r>
        <w:rPr>
          <w:color w:val="007F7F"/>
          <w:u w:val="single"/>
        </w:rPr>
        <w:t xml:space="preserve"> as..</w:t>
      </w:r>
    </w:p>
    <w:p w14:paraId="72742CF3" w14:textId="77777777" w:rsidR="00017BB7" w:rsidRDefault="00017BB7" w:rsidP="00017BB7">
      <w:pPr>
        <w:jc w:val="left"/>
      </w:pPr>
      <w:r>
        <w:rPr>
          <w:color w:val="000000"/>
        </w:rPr>
        <w:t xml:space="preserve">3.     </w:t>
      </w:r>
      <w:r>
        <w:rPr>
          <w:color w:val="007F7F"/>
          <w:u w:val="single"/>
        </w:rPr>
        <w:t>To address this gap we present BUGSI</w:t>
      </w:r>
    </w:p>
    <w:p w14:paraId="6DED4D4D" w14:textId="77777777" w:rsidR="00017BB7" w:rsidRDefault="00017BB7" w:rsidP="00017BB7">
      <w:pPr>
        <w:jc w:val="left"/>
      </w:pPr>
      <w:r>
        <w:rPr>
          <w:color w:val="000000"/>
        </w:rPr>
        <w:t xml:space="preserve">4.     </w:t>
      </w:r>
      <w:r>
        <w:rPr>
          <w:color w:val="007F7F"/>
          <w:u w:val="single"/>
        </w:rPr>
        <w:t>Indicate the idea of BUGSI</w:t>
      </w:r>
    </w:p>
    <w:p w14:paraId="43BB79E2" w14:textId="77777777" w:rsidR="00017BB7" w:rsidRDefault="00017BB7" w:rsidP="00017BB7">
      <w:pPr>
        <w:jc w:val="left"/>
      </w:pPr>
      <w:r>
        <w:rPr>
          <w:color w:val="000000"/>
        </w:rPr>
        <w:t xml:space="preserve">5.     </w:t>
      </w:r>
      <w:r>
        <w:rPr>
          <w:color w:val="007F7F"/>
          <w:u w:val="single"/>
        </w:rPr>
        <w:t>Summary how we have evaluated it</w:t>
      </w:r>
    </w:p>
    <w:p w14:paraId="0A3FB722" w14:textId="77777777" w:rsidR="00017BB7" w:rsidRDefault="00017BB7" w:rsidP="00017BB7">
      <w:pPr>
        <w:jc w:val="left"/>
      </w:pPr>
      <w:r>
        <w:rPr>
          <w:color w:val="000000"/>
        </w:rPr>
        <w:t xml:space="preserve">6.     </w:t>
      </w:r>
      <w:r>
        <w:rPr>
          <w:color w:val="007F7F"/>
          <w:u w:val="single"/>
        </w:rPr>
        <w:t xml:space="preserve">Finalize with the relevance for the field. </w:t>
      </w:r>
    </w:p>
    <w:p w14:paraId="7C2A5C14" w14:textId="77777777" w:rsidR="00017BB7" w:rsidRDefault="00017BB7" w:rsidP="00017BB7">
      <w:pPr>
        <w:jc w:val="left"/>
      </w:pPr>
    </w:p>
  </w:comment>
  <w:comment w:id="1" w:author="Tianyuan Liu" w:date="2025-04-09T18:30:00Z" w:initials="TL">
    <w:p w14:paraId="611D936B" w14:textId="77777777" w:rsidR="00017BB7" w:rsidRDefault="00017BB7" w:rsidP="00017BB7">
      <w:pPr>
        <w:jc w:val="left"/>
      </w:pPr>
      <w:r>
        <w:rPr>
          <w:rStyle w:val="CommentReference"/>
        </w:rPr>
        <w:annotationRef/>
      </w:r>
      <w:r>
        <w:rPr>
          <w:color w:val="000000"/>
        </w:rPr>
        <w:t>Done.</w:t>
      </w:r>
    </w:p>
  </w:comment>
  <w:comment w:id="2" w:author="Guest User" w:date="2025-04-14T10:44:00Z" w:initials="GU">
    <w:p w14:paraId="2CA52C61" w14:textId="4C325CF5" w:rsidR="00F33B3F" w:rsidRDefault="00F33B3F">
      <w:pPr>
        <w:pStyle w:val="CommentText"/>
      </w:pPr>
      <w:r>
        <w:rPr>
          <w:rStyle w:val="CommentReference"/>
        </w:rPr>
        <w:annotationRef/>
      </w:r>
      <w:r w:rsidRPr="205A1022">
        <w:t>have</w:t>
      </w:r>
    </w:p>
  </w:comment>
  <w:comment w:id="3" w:author="Guest User" w:date="2025-04-14T10:46:00Z" w:initials="GU">
    <w:p w14:paraId="6C891E17" w14:textId="22C4EEEE" w:rsidR="00434912" w:rsidRDefault="00434912">
      <w:pPr>
        <w:pStyle w:val="CommentText"/>
      </w:pPr>
      <w:r>
        <w:rPr>
          <w:rStyle w:val="CommentReference"/>
        </w:rPr>
        <w:annotationRef/>
      </w:r>
      <w:r w:rsidRPr="6E7AE52B">
        <w:t>as</w:t>
      </w:r>
    </w:p>
  </w:comment>
  <w:comment w:id="4" w:author="Guest User" w:date="2025-03-24T09:05:00Z" w:initials="GU">
    <w:p w14:paraId="05A6DE93" w14:textId="5E7CA8EA" w:rsidR="007100E0" w:rsidRDefault="007100E0">
      <w:pPr>
        <w:pStyle w:val="CommentText"/>
      </w:pPr>
      <w:r>
        <w:rPr>
          <w:rStyle w:val="CommentReference"/>
        </w:rPr>
        <w:annotationRef/>
      </w:r>
      <w:r w:rsidRPr="55F8964C">
        <w:t xml:space="preserve">There is an article for pycoQC </w:t>
      </w:r>
      <w:r w:rsidRPr="2D424B67">
        <w:rPr>
          <w:b/>
          <w:bCs/>
        </w:rPr>
        <w:t xml:space="preserve">Leger et al., (2019). pycoQC, interactive quality control for Oxford Nanopore Sequencing. Journal of Open Source Software, 4(34), 1236, </w:t>
      </w:r>
      <w:hyperlink r:id="rId1">
        <w:r w:rsidRPr="0D442539">
          <w:rPr>
            <w:b/>
            <w:bCs/>
          </w:rPr>
          <w:t>https://doi.org/10.21105/joss.01236</w:t>
        </w:r>
      </w:hyperlink>
    </w:p>
  </w:comment>
  <w:comment w:id="5" w:author="Guest User" w:date="2025-05-19T16:20:00Z" w:initials="GU">
    <w:p w14:paraId="2AA556E9" w14:textId="706C272A" w:rsidR="009C49F6" w:rsidRDefault="009C49F6">
      <w:pPr>
        <w:pStyle w:val="CommentText"/>
      </w:pPr>
      <w:r>
        <w:rPr>
          <w:rStyle w:val="CommentReference"/>
        </w:rPr>
        <w:annotationRef/>
      </w:r>
      <w:r w:rsidRPr="1D379840">
        <w:t>does this need a citation?</w:t>
      </w:r>
    </w:p>
  </w:comment>
  <w:comment w:id="6" w:author="Guest User" w:date="2025-05-06T12:30:00Z" w:initials="GU">
    <w:p w14:paraId="5B3DB408" w14:textId="304FEB37" w:rsidR="009C49F6" w:rsidRDefault="009C49F6">
      <w:pPr>
        <w:pStyle w:val="CommentText"/>
      </w:pPr>
      <w:r>
        <w:rPr>
          <w:rStyle w:val="CommentReference"/>
        </w:rPr>
        <w:annotationRef/>
      </w:r>
      <w:r w:rsidRPr="2EA41B63">
        <w:t xml:space="preserve">This is not clear - I presume you are comparing against all GENCODE here?  </w:t>
      </w:r>
    </w:p>
  </w:comment>
  <w:comment w:id="7" w:author="Usuario invitado" w:date="2025-04-14T12:10:00Z" w:initials="Ui">
    <w:p w14:paraId="470F40AA" w14:textId="2F1544A1" w:rsidR="009F6169" w:rsidRDefault="009F6169">
      <w:pPr>
        <w:pStyle w:val="CommentText"/>
      </w:pPr>
      <w:r>
        <w:rPr>
          <w:rStyle w:val="CommentReference"/>
        </w:rPr>
        <w:annotationRef/>
      </w:r>
      <w:r w:rsidRPr="300F9E41">
        <w:t>RNA deviation should be transcript divergence. In transcript reconstruction: transcript model sensitivy and precssion. Remve "tradeoffs among"</w:t>
      </w:r>
    </w:p>
  </w:comment>
  <w:comment w:id="9" w:author="Kondratova,Liudmyla" w:date="2025-03-31T18:40:00Z" w:initials="AC">
    <w:p w14:paraId="62ED906C" w14:textId="15CF9BF2" w:rsidR="00FC3875" w:rsidRDefault="00FC3875" w:rsidP="00FC3875">
      <w:pPr>
        <w:jc w:val="left"/>
      </w:pPr>
      <w:r>
        <w:rPr>
          <w:rStyle w:val="CommentReference"/>
        </w:rPr>
        <w:annotationRef/>
      </w:r>
      <w:r>
        <w:rPr>
          <w:color w:val="000000"/>
        </w:rPr>
        <w:t>I do not like a lot this figure, I think it should be more graphical, illustrating the possible sources of bias.</w:t>
      </w:r>
    </w:p>
  </w:comment>
  <w:comment w:id="10" w:author="Tianyuan Liu" w:date="2025-04-11T00:12:00Z" w:initials="TL">
    <w:p w14:paraId="156857D8" w14:textId="77777777" w:rsidR="00AF6C33" w:rsidRDefault="00AF6C33" w:rsidP="00AF6C33">
      <w:pPr>
        <w:jc w:val="left"/>
      </w:pPr>
      <w:r>
        <w:rPr>
          <w:rStyle w:val="CommentReference"/>
        </w:rPr>
        <w:annotationRef/>
      </w:r>
      <w:r>
        <w:rPr>
          <w:color w:val="000000"/>
        </w:rPr>
        <w:t>I am remaking it now, will be ready today</w:t>
      </w:r>
    </w:p>
  </w:comment>
  <w:comment w:id="8" w:author="Usuario invitado" w:date="2025-07-29T18:23:00Z" w:initials="Ui">
    <w:p w14:paraId="0AC85F1A" w14:textId="748C36B2" w:rsidR="00060C67" w:rsidRDefault="00060C67">
      <w:pPr>
        <w:pStyle w:val="CommentText"/>
      </w:pPr>
      <w:r>
        <w:rPr>
          <w:rStyle w:val="CommentReference"/>
        </w:rPr>
        <w:annotationRef/>
      </w:r>
      <w:r w:rsidRPr="44F58DB9">
        <w:t>This figure still needs modifications. I do not think we should go into the Transcript divergence problem. Remove "Trasncript divergence".  Under library preparation, indicate: incomplete cDNA synthesis, other library preparation biases. Under sequencing you include "Molecule capture, read length bias, sequencing depth, sequencing errors". You can also add simulated data and put a line over Spike-ins that starts at sequencing. At transcript reconstruction write "Novelty vs Annotation"</w:t>
      </w:r>
    </w:p>
  </w:comment>
  <w:comment w:id="11" w:author="Guest User" w:date="2025-03-24T10:41:00Z" w:initials="GU">
    <w:p w14:paraId="47BC5667" w14:textId="4671C8FE" w:rsidR="00F927A2" w:rsidRDefault="00F927A2">
      <w:pPr>
        <w:pStyle w:val="CommentText"/>
      </w:pPr>
      <w:r>
        <w:rPr>
          <w:rStyle w:val="CommentReference"/>
        </w:rPr>
        <w:annotationRef/>
      </w:r>
      <w:r w:rsidRPr="4DC9D0B8">
        <w:t>I think it should be "Sequin" in "Sequin detection", but "Sequins" when it stands alone, right? You have used both "Sequin" and "Sequins" at different points.</w:t>
      </w:r>
    </w:p>
  </w:comment>
  <w:comment w:id="12" w:author="Usuario invitado" w:date="2025-06-30T16:13:00Z" w:initials="Ui">
    <w:p w14:paraId="3E67A469" w14:textId="14C8CDD0" w:rsidR="00DC399F" w:rsidRDefault="00DC399F">
      <w:pPr>
        <w:pStyle w:val="CommentText"/>
      </w:pPr>
      <w:r>
        <w:rPr>
          <w:rStyle w:val="CommentReference"/>
        </w:rPr>
        <w:annotationRef/>
      </w:r>
      <w:r w:rsidRPr="469B6036">
        <w:t>Indicar which supplementary figure this is</w:t>
      </w:r>
    </w:p>
  </w:comment>
  <w:comment w:id="13" w:author="Usuario invitado" w:date="2025-07-29T18:43:00Z" w:initials="Ui">
    <w:p w14:paraId="3C9E6A4F" w14:textId="6185CD04" w:rsidR="00CC4CC4" w:rsidRDefault="00CC4CC4">
      <w:pPr>
        <w:pStyle w:val="CommentText"/>
      </w:pPr>
      <w:r>
        <w:rPr>
          <w:rStyle w:val="CommentReference"/>
        </w:rPr>
        <w:annotationRef/>
      </w:r>
      <w:r w:rsidRPr="5869CC12">
        <w:t>Make style for legend section labels uniform across figures</w:t>
      </w:r>
    </w:p>
  </w:comment>
  <w:comment w:id="15" w:author="Usuario invitado" w:date="2025-08-18T17:20:00Z" w:initials="Ui">
    <w:p w14:paraId="4D6B78C3" w14:textId="44241085" w:rsidR="00414825" w:rsidRDefault="00414825">
      <w:pPr>
        <w:pStyle w:val="CommentText"/>
      </w:pPr>
      <w:r>
        <w:rPr>
          <w:rStyle w:val="CommentReference"/>
        </w:rPr>
        <w:annotationRef/>
      </w:r>
      <w:r w:rsidRPr="63215802">
        <w:t>Possibly this was a bit less that 1. Give the actual numbers</w:t>
      </w:r>
    </w:p>
  </w:comment>
  <w:comment w:id="16" w:author="Usuario invitado" w:date="2025-08-18T17:25:00Z" w:initials="Ui">
    <w:p w14:paraId="261059DE" w14:textId="17559215" w:rsidR="00414825" w:rsidRDefault="00414825">
      <w:pPr>
        <w:pStyle w:val="CommentText"/>
      </w:pPr>
      <w:r>
        <w:rPr>
          <w:rStyle w:val="CommentReference"/>
        </w:rPr>
        <w:annotationRef/>
      </w:r>
      <w:r w:rsidRPr="5BE397A6">
        <w:t>Does not look exact. Give the precise numbers</w:t>
      </w:r>
    </w:p>
  </w:comment>
  <w:comment w:id="17" w:author="Usuario invitado" w:date="2025-04-14T13:42:00Z" w:initials="Ui">
    <w:p w14:paraId="72488935" w14:textId="5DAA7817" w:rsidR="00420173" w:rsidRDefault="00420173">
      <w:pPr>
        <w:pStyle w:val="CommentText"/>
      </w:pPr>
      <w:r>
        <w:rPr>
          <w:rStyle w:val="CommentReference"/>
        </w:rPr>
        <w:annotationRef/>
      </w:r>
      <w:r w:rsidRPr="7170988F">
        <w:t>Hihglight the limitations of using synthetic data. Hihglught how BUGSI, when combining the core and the global mode, can higlight cases of transript divergence that SIRVs do not capture.. This will be essential when assessing transcript reconstrucion methods in biological samples subjected to stress, such as disease conditions.</w:t>
      </w:r>
    </w:p>
  </w:comment>
  <w:comment w:id="18" w:author="Tianyuan Liu" w:date="2025-04-15T17:10:00Z" w:initials="TL">
    <w:p w14:paraId="74078BA9" w14:textId="77777777" w:rsidR="009C4003" w:rsidRDefault="009C4003" w:rsidP="009C4003">
      <w:pPr>
        <w:jc w:val="left"/>
      </w:pPr>
      <w:r>
        <w:rPr>
          <w:rStyle w:val="CommentReference"/>
        </w:rPr>
        <w:annotationRef/>
      </w:r>
      <w:r>
        <w:t>Future updates. Evaluaion of novel transcripts, but removing certain BUGSI genes or combine with SQANTI-SIM to create different types of novel transcripts.</w:t>
      </w:r>
    </w:p>
  </w:comment>
  <w:comment w:id="20" w:author="Usuario invitado" w:date="2025-06-30T15:22:00Z" w:initials="Ui">
    <w:p w14:paraId="6FBDB5C5" w14:textId="77777777" w:rsidR="006F3282" w:rsidRDefault="006F3282" w:rsidP="006F3282">
      <w:pPr>
        <w:pStyle w:val="CommentText"/>
      </w:pPr>
      <w:r>
        <w:rPr>
          <w:rStyle w:val="CommentReference"/>
        </w:rPr>
        <w:annotationRef/>
      </w:r>
      <w:r w:rsidRPr="75784821">
        <w:t>If this is a Supplementary table, it should be placed in another document, or at the end of this document.</w:t>
      </w:r>
    </w:p>
  </w:comment>
  <w:comment w:id="21" w:author="Usuario invitado" w:date="2025-07-29T20:10:00Z" w:initials="Ui">
    <w:p w14:paraId="007A47BD" w14:textId="0821AEAF" w:rsidR="00491D65" w:rsidRDefault="00303D7E">
      <w:pPr>
        <w:pStyle w:val="CommentText"/>
      </w:pPr>
      <w:r>
        <w:rPr>
          <w:rStyle w:val="CommentReference"/>
        </w:rPr>
        <w:annotationRef/>
      </w:r>
      <w:r w:rsidRPr="0E65DD35">
        <w:t>Make sure all the references are in the right place in the paper. Check for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2A5C14" w15:done="1"/>
  <w15:commentEx w15:paraId="611D936B" w15:paraIdParent="7C2A5C14" w15:done="1"/>
  <w15:commentEx w15:paraId="2CA52C61" w15:done="1"/>
  <w15:commentEx w15:paraId="6C891E17" w15:done="1"/>
  <w15:commentEx w15:paraId="05A6DE93" w15:done="1"/>
  <w15:commentEx w15:paraId="2AA556E9" w15:done="1"/>
  <w15:commentEx w15:paraId="5B3DB408" w15:done="1"/>
  <w15:commentEx w15:paraId="470F40AA" w15:done="1"/>
  <w15:commentEx w15:paraId="62ED906C" w15:done="1"/>
  <w15:commentEx w15:paraId="156857D8" w15:paraIdParent="62ED906C" w15:done="1"/>
  <w15:commentEx w15:paraId="0AC85F1A" w15:done="1"/>
  <w15:commentEx w15:paraId="47BC5667" w15:done="1"/>
  <w15:commentEx w15:paraId="3E67A469" w15:done="1"/>
  <w15:commentEx w15:paraId="3C9E6A4F" w15:done="1"/>
  <w15:commentEx w15:paraId="4D6B78C3" w15:done="0"/>
  <w15:commentEx w15:paraId="261059DE" w15:done="0"/>
  <w15:commentEx w15:paraId="72488935" w15:done="1"/>
  <w15:commentEx w15:paraId="74078BA9" w15:paraIdParent="72488935" w15:done="1"/>
  <w15:commentEx w15:paraId="6FBDB5C5" w15:done="1"/>
  <w15:commentEx w15:paraId="007A47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ACCD4D" w16cex:dateUtc="2025-04-09T16:30:00Z"/>
  <w16cex:commentExtensible w16cex:durableId="0AAFD64F" w16cex:dateUtc="2025-04-09T16:30:00Z"/>
  <w16cex:commentExtensible w16cex:durableId="1DF982F3" w16cex:dateUtc="2025-04-14T08:44:00Z"/>
  <w16cex:commentExtensible w16cex:durableId="1754E972" w16cex:dateUtc="2025-04-14T08:46:00Z"/>
  <w16cex:commentExtensible w16cex:durableId="4CF8F5BD" w16cex:dateUtc="2025-03-24T08:05:00Z"/>
  <w16cex:commentExtensible w16cex:durableId="2855B1E0" w16cex:dateUtc="2025-05-19T15:20:00Z"/>
  <w16cex:commentExtensible w16cex:durableId="44B6FDFD" w16cex:dateUtc="2025-05-06T16:30:00Z"/>
  <w16cex:commentExtensible w16cex:durableId="5770945B" w16cex:dateUtc="2025-04-14T10:10:00Z"/>
  <w16cex:commentExtensible w16cex:durableId="6D8CB3FC" w16cex:dateUtc="2025-03-31T16:40:00Z"/>
  <w16cex:commentExtensible w16cex:durableId="7D57882C" w16cex:dateUtc="2025-04-10T22:12:00Z"/>
  <w16cex:commentExtensible w16cex:durableId="125F68A1" w16cex:dateUtc="2025-07-29T16:23:00Z"/>
  <w16cex:commentExtensible w16cex:durableId="51A99947" w16cex:dateUtc="2025-03-24T09:41:00Z"/>
  <w16cex:commentExtensible w16cex:durableId="622F1384" w16cex:dateUtc="2025-06-30T14:13:00Z"/>
  <w16cex:commentExtensible w16cex:durableId="6DD137B1" w16cex:dateUtc="2025-07-29T16:43:00Z"/>
  <w16cex:commentExtensible w16cex:durableId="2EBCF3AC" w16cex:dateUtc="2025-08-18T15:20:00Z"/>
  <w16cex:commentExtensible w16cex:durableId="2EAAE6B5" w16cex:dateUtc="2025-08-18T15:25:00Z"/>
  <w16cex:commentExtensible w16cex:durableId="449F612E" w16cex:dateUtc="2025-04-14T11:42:00Z"/>
  <w16cex:commentExtensible w16cex:durableId="71B1B287" w16cex:dateUtc="2025-04-15T15:10:00Z"/>
  <w16cex:commentExtensible w16cex:durableId="74E6D5E7" w16cex:dateUtc="2025-06-30T13:22:00Z"/>
  <w16cex:commentExtensible w16cex:durableId="142C8BF1" w16cex:dateUtc="2025-07-29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2A5C14" w16cid:durableId="6BACCD4D"/>
  <w16cid:commentId w16cid:paraId="611D936B" w16cid:durableId="0AAFD64F"/>
  <w16cid:commentId w16cid:paraId="2CA52C61" w16cid:durableId="1DF982F3"/>
  <w16cid:commentId w16cid:paraId="6C891E17" w16cid:durableId="1754E972"/>
  <w16cid:commentId w16cid:paraId="05A6DE93" w16cid:durableId="4CF8F5BD"/>
  <w16cid:commentId w16cid:paraId="2AA556E9" w16cid:durableId="2855B1E0"/>
  <w16cid:commentId w16cid:paraId="5B3DB408" w16cid:durableId="44B6FDFD"/>
  <w16cid:commentId w16cid:paraId="470F40AA" w16cid:durableId="5770945B"/>
  <w16cid:commentId w16cid:paraId="62ED906C" w16cid:durableId="6D8CB3FC"/>
  <w16cid:commentId w16cid:paraId="156857D8" w16cid:durableId="7D57882C"/>
  <w16cid:commentId w16cid:paraId="0AC85F1A" w16cid:durableId="125F68A1"/>
  <w16cid:commentId w16cid:paraId="47BC5667" w16cid:durableId="51A99947"/>
  <w16cid:commentId w16cid:paraId="3E67A469" w16cid:durableId="622F1384"/>
  <w16cid:commentId w16cid:paraId="3C9E6A4F" w16cid:durableId="6DD137B1"/>
  <w16cid:commentId w16cid:paraId="4D6B78C3" w16cid:durableId="2EBCF3AC"/>
  <w16cid:commentId w16cid:paraId="261059DE" w16cid:durableId="2EAAE6B5"/>
  <w16cid:commentId w16cid:paraId="72488935" w16cid:durableId="449F612E"/>
  <w16cid:commentId w16cid:paraId="74078BA9" w16cid:durableId="71B1B287"/>
  <w16cid:commentId w16cid:paraId="6FBDB5C5" w16cid:durableId="74E6D5E7"/>
  <w16cid:commentId w16cid:paraId="007A47BD" w16cid:durableId="142C8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C1B2F" w14:textId="77777777" w:rsidR="002959CD" w:rsidRDefault="002959CD" w:rsidP="00626366">
      <w:r>
        <w:separator/>
      </w:r>
    </w:p>
  </w:endnote>
  <w:endnote w:type="continuationSeparator" w:id="0">
    <w:p w14:paraId="5087E3A9" w14:textId="77777777" w:rsidR="002959CD" w:rsidRDefault="002959CD" w:rsidP="00626366">
      <w:r>
        <w:continuationSeparator/>
      </w:r>
    </w:p>
  </w:endnote>
  <w:endnote w:type="continuationNotice" w:id="1">
    <w:p w14:paraId="0C9CC6F7" w14:textId="77777777" w:rsidR="002959CD" w:rsidRDefault="002959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52A3F" w14:textId="77777777" w:rsidR="002959CD" w:rsidRDefault="002959CD" w:rsidP="00626366">
      <w:r>
        <w:separator/>
      </w:r>
    </w:p>
  </w:footnote>
  <w:footnote w:type="continuationSeparator" w:id="0">
    <w:p w14:paraId="51059585" w14:textId="77777777" w:rsidR="002959CD" w:rsidRDefault="002959CD" w:rsidP="00626366">
      <w:r>
        <w:continuationSeparator/>
      </w:r>
    </w:p>
  </w:footnote>
  <w:footnote w:type="continuationNotice" w:id="1">
    <w:p w14:paraId="3A453E42" w14:textId="77777777" w:rsidR="002959CD" w:rsidRDefault="002959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41EC3"/>
    <w:multiLevelType w:val="hybridMultilevel"/>
    <w:tmpl w:val="8BA487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671DE"/>
    <w:multiLevelType w:val="multilevel"/>
    <w:tmpl w:val="24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E1D37"/>
    <w:multiLevelType w:val="hybridMultilevel"/>
    <w:tmpl w:val="B0E26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904818"/>
    <w:multiLevelType w:val="hybridMultilevel"/>
    <w:tmpl w:val="5F082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5702B5"/>
    <w:multiLevelType w:val="multilevel"/>
    <w:tmpl w:val="ECC0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C35AAD"/>
    <w:multiLevelType w:val="multilevel"/>
    <w:tmpl w:val="F0D60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43492E"/>
    <w:multiLevelType w:val="multilevel"/>
    <w:tmpl w:val="3BE2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83FF2"/>
    <w:multiLevelType w:val="hybridMultilevel"/>
    <w:tmpl w:val="C5365032"/>
    <w:lvl w:ilvl="0" w:tplc="F11C8460">
      <w:start w:val="1"/>
      <w:numFmt w:val="bullet"/>
      <w:lvlText w:val=""/>
      <w:lvlJc w:val="left"/>
      <w:pPr>
        <w:ind w:left="360" w:hanging="360"/>
      </w:pPr>
      <w:rPr>
        <w:rFonts w:ascii="Wingdings" w:eastAsiaTheme="majorEastAsia"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6D10FE1"/>
    <w:multiLevelType w:val="multilevel"/>
    <w:tmpl w:val="B46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FF3FAF"/>
    <w:multiLevelType w:val="hybridMultilevel"/>
    <w:tmpl w:val="45288A3A"/>
    <w:lvl w:ilvl="0" w:tplc="7706A486">
      <w:start w:val="2"/>
      <w:numFmt w:val="bullet"/>
      <w:lvlText w:val=""/>
      <w:lvlJc w:val="left"/>
      <w:pPr>
        <w:ind w:left="720" w:hanging="360"/>
      </w:pPr>
      <w:rPr>
        <w:rFonts w:ascii="Wingdings" w:eastAsiaTheme="maj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7A26C7"/>
    <w:multiLevelType w:val="multilevel"/>
    <w:tmpl w:val="91CC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700E77"/>
    <w:multiLevelType w:val="hybridMultilevel"/>
    <w:tmpl w:val="FFFFFFFF"/>
    <w:lvl w:ilvl="0" w:tplc="0128D4DE">
      <w:start w:val="1"/>
      <w:numFmt w:val="upperLetter"/>
      <w:lvlText w:val="(%1)"/>
      <w:lvlJc w:val="left"/>
      <w:pPr>
        <w:ind w:left="720" w:hanging="360"/>
      </w:pPr>
    </w:lvl>
    <w:lvl w:ilvl="1" w:tplc="0B425EFE">
      <w:start w:val="1"/>
      <w:numFmt w:val="lowerLetter"/>
      <w:lvlText w:val="%2."/>
      <w:lvlJc w:val="left"/>
      <w:pPr>
        <w:ind w:left="1440" w:hanging="360"/>
      </w:pPr>
    </w:lvl>
    <w:lvl w:ilvl="2" w:tplc="974478B8">
      <w:start w:val="1"/>
      <w:numFmt w:val="lowerRoman"/>
      <w:lvlText w:val="%3."/>
      <w:lvlJc w:val="right"/>
      <w:pPr>
        <w:ind w:left="2160" w:hanging="180"/>
      </w:pPr>
    </w:lvl>
    <w:lvl w:ilvl="3" w:tplc="C3C4C220">
      <w:start w:val="1"/>
      <w:numFmt w:val="decimal"/>
      <w:lvlText w:val="%4."/>
      <w:lvlJc w:val="left"/>
      <w:pPr>
        <w:ind w:left="2880" w:hanging="360"/>
      </w:pPr>
    </w:lvl>
    <w:lvl w:ilvl="4" w:tplc="C406BDD2">
      <w:start w:val="1"/>
      <w:numFmt w:val="lowerLetter"/>
      <w:lvlText w:val="%5."/>
      <w:lvlJc w:val="left"/>
      <w:pPr>
        <w:ind w:left="3600" w:hanging="360"/>
      </w:pPr>
    </w:lvl>
    <w:lvl w:ilvl="5" w:tplc="9D6E0FFA">
      <w:start w:val="1"/>
      <w:numFmt w:val="lowerRoman"/>
      <w:lvlText w:val="%6."/>
      <w:lvlJc w:val="right"/>
      <w:pPr>
        <w:ind w:left="4320" w:hanging="180"/>
      </w:pPr>
    </w:lvl>
    <w:lvl w:ilvl="6" w:tplc="6EE83C8E">
      <w:start w:val="1"/>
      <w:numFmt w:val="decimal"/>
      <w:lvlText w:val="%7."/>
      <w:lvlJc w:val="left"/>
      <w:pPr>
        <w:ind w:left="5040" w:hanging="360"/>
      </w:pPr>
    </w:lvl>
    <w:lvl w:ilvl="7" w:tplc="8048B472">
      <w:start w:val="1"/>
      <w:numFmt w:val="lowerLetter"/>
      <w:lvlText w:val="%8."/>
      <w:lvlJc w:val="left"/>
      <w:pPr>
        <w:ind w:left="5760" w:hanging="360"/>
      </w:pPr>
    </w:lvl>
    <w:lvl w:ilvl="8" w:tplc="27149BC8">
      <w:start w:val="1"/>
      <w:numFmt w:val="lowerRoman"/>
      <w:lvlText w:val="%9."/>
      <w:lvlJc w:val="right"/>
      <w:pPr>
        <w:ind w:left="6480" w:hanging="180"/>
      </w:pPr>
    </w:lvl>
  </w:abstractNum>
  <w:abstractNum w:abstractNumId="12" w15:restartNumberingAfterBreak="0">
    <w:nsid w:val="6D826FCB"/>
    <w:multiLevelType w:val="multilevel"/>
    <w:tmpl w:val="05EC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B068FD"/>
    <w:multiLevelType w:val="hybridMultilevel"/>
    <w:tmpl w:val="F7EEF6B8"/>
    <w:lvl w:ilvl="0" w:tplc="040A0011">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A9621A7"/>
    <w:multiLevelType w:val="hybridMultilevel"/>
    <w:tmpl w:val="600E55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CE4AB5"/>
    <w:multiLevelType w:val="hybridMultilevel"/>
    <w:tmpl w:val="A1665F5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774400172">
    <w:abstractNumId w:val="11"/>
  </w:num>
  <w:num w:numId="2" w16cid:durableId="10230637">
    <w:abstractNumId w:val="10"/>
  </w:num>
  <w:num w:numId="3" w16cid:durableId="1085224387">
    <w:abstractNumId w:val="9"/>
  </w:num>
  <w:num w:numId="4" w16cid:durableId="15277704">
    <w:abstractNumId w:val="7"/>
  </w:num>
  <w:num w:numId="5" w16cid:durableId="1162619077">
    <w:abstractNumId w:val="2"/>
  </w:num>
  <w:num w:numId="6" w16cid:durableId="1006790069">
    <w:abstractNumId w:val="14"/>
  </w:num>
  <w:num w:numId="7" w16cid:durableId="1664892956">
    <w:abstractNumId w:val="3"/>
  </w:num>
  <w:num w:numId="8" w16cid:durableId="1310550444">
    <w:abstractNumId w:val="0"/>
  </w:num>
  <w:num w:numId="9" w16cid:durableId="619070843">
    <w:abstractNumId w:val="15"/>
  </w:num>
  <w:num w:numId="10" w16cid:durableId="1962035474">
    <w:abstractNumId w:val="13"/>
  </w:num>
  <w:num w:numId="11" w16cid:durableId="1877304204">
    <w:abstractNumId w:val="5"/>
  </w:num>
  <w:num w:numId="12" w16cid:durableId="1459565071">
    <w:abstractNumId w:val="1"/>
  </w:num>
  <w:num w:numId="13" w16cid:durableId="975916753">
    <w:abstractNumId w:val="4"/>
  </w:num>
  <w:num w:numId="14" w16cid:durableId="66464151">
    <w:abstractNumId w:val="12"/>
  </w:num>
  <w:num w:numId="15" w16cid:durableId="1553615224">
    <w:abstractNumId w:val="6"/>
  </w:num>
  <w:num w:numId="16" w16cid:durableId="62962737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ianyuan Liu">
    <w15:presenceInfo w15:providerId="Windows Live" w15:userId="d295a6be9221aae5"/>
  </w15:person>
  <w15:person w15:author="Guest User">
    <w15:presenceInfo w15:providerId="AD" w15:userId="S::urn:spo:anon#498beb92e0df11d80b52bc5ca56d6145fa9272145af16f485b3b7ce18638be50::"/>
  </w15:person>
  <w15:person w15:author="Kondratova,Liudmyla">
    <w15:presenceInfo w15:providerId="AD" w15:userId="S::l.kondratova@ufl.edu::1b136840-652c-460b-8916-1c738703b3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9EA"/>
    <w:rsid w:val="0000135E"/>
    <w:rsid w:val="000019EA"/>
    <w:rsid w:val="00001DEE"/>
    <w:rsid w:val="000034FC"/>
    <w:rsid w:val="00003D53"/>
    <w:rsid w:val="00003E8C"/>
    <w:rsid w:val="00004BA6"/>
    <w:rsid w:val="00005626"/>
    <w:rsid w:val="00005DD7"/>
    <w:rsid w:val="000065BC"/>
    <w:rsid w:val="00007375"/>
    <w:rsid w:val="00007E19"/>
    <w:rsid w:val="000100B1"/>
    <w:rsid w:val="000111F7"/>
    <w:rsid w:val="000116B4"/>
    <w:rsid w:val="000118D5"/>
    <w:rsid w:val="00012EF1"/>
    <w:rsid w:val="00014B20"/>
    <w:rsid w:val="00014C18"/>
    <w:rsid w:val="00015C29"/>
    <w:rsid w:val="000176CE"/>
    <w:rsid w:val="00017BB7"/>
    <w:rsid w:val="00021657"/>
    <w:rsid w:val="00021BD6"/>
    <w:rsid w:val="000221EE"/>
    <w:rsid w:val="00022647"/>
    <w:rsid w:val="000233A6"/>
    <w:rsid w:val="00023C6B"/>
    <w:rsid w:val="00024194"/>
    <w:rsid w:val="000246A2"/>
    <w:rsid w:val="000252BF"/>
    <w:rsid w:val="00026539"/>
    <w:rsid w:val="00026C6D"/>
    <w:rsid w:val="000273C9"/>
    <w:rsid w:val="000278DC"/>
    <w:rsid w:val="000307DB"/>
    <w:rsid w:val="00034A1D"/>
    <w:rsid w:val="000408DF"/>
    <w:rsid w:val="00040E61"/>
    <w:rsid w:val="00042DD1"/>
    <w:rsid w:val="000439E6"/>
    <w:rsid w:val="00043A6D"/>
    <w:rsid w:val="00044332"/>
    <w:rsid w:val="0004509D"/>
    <w:rsid w:val="000469E2"/>
    <w:rsid w:val="000474DE"/>
    <w:rsid w:val="00050192"/>
    <w:rsid w:val="000519F2"/>
    <w:rsid w:val="00051CEC"/>
    <w:rsid w:val="00052456"/>
    <w:rsid w:val="00052EF8"/>
    <w:rsid w:val="00053754"/>
    <w:rsid w:val="00054A89"/>
    <w:rsid w:val="00055F3B"/>
    <w:rsid w:val="000566A5"/>
    <w:rsid w:val="00056C61"/>
    <w:rsid w:val="00060BAC"/>
    <w:rsid w:val="00060C67"/>
    <w:rsid w:val="00061202"/>
    <w:rsid w:val="00061479"/>
    <w:rsid w:val="00062997"/>
    <w:rsid w:val="000636B5"/>
    <w:rsid w:val="00064307"/>
    <w:rsid w:val="0006484B"/>
    <w:rsid w:val="00064EAA"/>
    <w:rsid w:val="00065214"/>
    <w:rsid w:val="00065831"/>
    <w:rsid w:val="0006629A"/>
    <w:rsid w:val="000669CF"/>
    <w:rsid w:val="0006722A"/>
    <w:rsid w:val="000673B1"/>
    <w:rsid w:val="00070130"/>
    <w:rsid w:val="00071E0A"/>
    <w:rsid w:val="00072583"/>
    <w:rsid w:val="0007310A"/>
    <w:rsid w:val="00073D43"/>
    <w:rsid w:val="000753DE"/>
    <w:rsid w:val="00075825"/>
    <w:rsid w:val="000777A2"/>
    <w:rsid w:val="00077817"/>
    <w:rsid w:val="00080286"/>
    <w:rsid w:val="00080577"/>
    <w:rsid w:val="00080A56"/>
    <w:rsid w:val="00080E25"/>
    <w:rsid w:val="0008181B"/>
    <w:rsid w:val="00081AE8"/>
    <w:rsid w:val="00081AFE"/>
    <w:rsid w:val="00081CC0"/>
    <w:rsid w:val="000821EA"/>
    <w:rsid w:val="00082446"/>
    <w:rsid w:val="000828EE"/>
    <w:rsid w:val="00083299"/>
    <w:rsid w:val="000835B9"/>
    <w:rsid w:val="0008370F"/>
    <w:rsid w:val="00083CF9"/>
    <w:rsid w:val="0008462A"/>
    <w:rsid w:val="00086224"/>
    <w:rsid w:val="00086444"/>
    <w:rsid w:val="000874D9"/>
    <w:rsid w:val="00087814"/>
    <w:rsid w:val="00087EB9"/>
    <w:rsid w:val="000904BC"/>
    <w:rsid w:val="00093032"/>
    <w:rsid w:val="00093E83"/>
    <w:rsid w:val="00094279"/>
    <w:rsid w:val="000945D4"/>
    <w:rsid w:val="0009514A"/>
    <w:rsid w:val="000954E2"/>
    <w:rsid w:val="00095FCB"/>
    <w:rsid w:val="000970F7"/>
    <w:rsid w:val="000A01C6"/>
    <w:rsid w:val="000A060D"/>
    <w:rsid w:val="000A0922"/>
    <w:rsid w:val="000A2885"/>
    <w:rsid w:val="000A314D"/>
    <w:rsid w:val="000A3C07"/>
    <w:rsid w:val="000A3E2B"/>
    <w:rsid w:val="000A46FE"/>
    <w:rsid w:val="000A4967"/>
    <w:rsid w:val="000A5C3E"/>
    <w:rsid w:val="000B0B1E"/>
    <w:rsid w:val="000B14BB"/>
    <w:rsid w:val="000B17AE"/>
    <w:rsid w:val="000B1FD0"/>
    <w:rsid w:val="000B2155"/>
    <w:rsid w:val="000B3298"/>
    <w:rsid w:val="000B3E31"/>
    <w:rsid w:val="000B4BA2"/>
    <w:rsid w:val="000B53E8"/>
    <w:rsid w:val="000B6DF4"/>
    <w:rsid w:val="000B788B"/>
    <w:rsid w:val="000C18CC"/>
    <w:rsid w:val="000C2E09"/>
    <w:rsid w:val="000C2E16"/>
    <w:rsid w:val="000C4625"/>
    <w:rsid w:val="000C5743"/>
    <w:rsid w:val="000C6A32"/>
    <w:rsid w:val="000C7223"/>
    <w:rsid w:val="000D08FB"/>
    <w:rsid w:val="000D1605"/>
    <w:rsid w:val="000D1CCB"/>
    <w:rsid w:val="000D26F4"/>
    <w:rsid w:val="000D3224"/>
    <w:rsid w:val="000D45D4"/>
    <w:rsid w:val="000D50DC"/>
    <w:rsid w:val="000D547B"/>
    <w:rsid w:val="000D72AF"/>
    <w:rsid w:val="000E0365"/>
    <w:rsid w:val="000E31DD"/>
    <w:rsid w:val="000E3292"/>
    <w:rsid w:val="000E4285"/>
    <w:rsid w:val="000E4F17"/>
    <w:rsid w:val="000E4FFA"/>
    <w:rsid w:val="000E57FA"/>
    <w:rsid w:val="000E5F1A"/>
    <w:rsid w:val="000E6658"/>
    <w:rsid w:val="000E7777"/>
    <w:rsid w:val="000E7E74"/>
    <w:rsid w:val="000F1488"/>
    <w:rsid w:val="000F33C1"/>
    <w:rsid w:val="000F3D9F"/>
    <w:rsid w:val="000F4845"/>
    <w:rsid w:val="000F620B"/>
    <w:rsid w:val="000F6DD1"/>
    <w:rsid w:val="00101930"/>
    <w:rsid w:val="00101BD3"/>
    <w:rsid w:val="001023DE"/>
    <w:rsid w:val="00102E40"/>
    <w:rsid w:val="00106643"/>
    <w:rsid w:val="00106C1A"/>
    <w:rsid w:val="00110005"/>
    <w:rsid w:val="00110F54"/>
    <w:rsid w:val="00112CAE"/>
    <w:rsid w:val="00114864"/>
    <w:rsid w:val="001150B6"/>
    <w:rsid w:val="00115814"/>
    <w:rsid w:val="0011593B"/>
    <w:rsid w:val="0011731A"/>
    <w:rsid w:val="001177E3"/>
    <w:rsid w:val="0012109F"/>
    <w:rsid w:val="0012123E"/>
    <w:rsid w:val="00121616"/>
    <w:rsid w:val="00121B6C"/>
    <w:rsid w:val="00121C2F"/>
    <w:rsid w:val="00122A4D"/>
    <w:rsid w:val="00123E01"/>
    <w:rsid w:val="0012468A"/>
    <w:rsid w:val="00126379"/>
    <w:rsid w:val="001265F3"/>
    <w:rsid w:val="001271EA"/>
    <w:rsid w:val="00127776"/>
    <w:rsid w:val="0013001A"/>
    <w:rsid w:val="001301BA"/>
    <w:rsid w:val="00130BDF"/>
    <w:rsid w:val="0013186A"/>
    <w:rsid w:val="00131E90"/>
    <w:rsid w:val="00133625"/>
    <w:rsid w:val="00137384"/>
    <w:rsid w:val="001373A5"/>
    <w:rsid w:val="00137E39"/>
    <w:rsid w:val="00137E78"/>
    <w:rsid w:val="001400E1"/>
    <w:rsid w:val="001412EF"/>
    <w:rsid w:val="00141612"/>
    <w:rsid w:val="001431D3"/>
    <w:rsid w:val="001433E1"/>
    <w:rsid w:val="0014419F"/>
    <w:rsid w:val="001456A5"/>
    <w:rsid w:val="001459A7"/>
    <w:rsid w:val="00145ABB"/>
    <w:rsid w:val="00145C65"/>
    <w:rsid w:val="00146059"/>
    <w:rsid w:val="0014646D"/>
    <w:rsid w:val="00146C38"/>
    <w:rsid w:val="00147AA8"/>
    <w:rsid w:val="001504E6"/>
    <w:rsid w:val="00152158"/>
    <w:rsid w:val="00154C78"/>
    <w:rsid w:val="00155C3A"/>
    <w:rsid w:val="00156034"/>
    <w:rsid w:val="001564D7"/>
    <w:rsid w:val="001569AC"/>
    <w:rsid w:val="00157051"/>
    <w:rsid w:val="001579CA"/>
    <w:rsid w:val="00157F23"/>
    <w:rsid w:val="00162889"/>
    <w:rsid w:val="00162DF3"/>
    <w:rsid w:val="00163F85"/>
    <w:rsid w:val="00164379"/>
    <w:rsid w:val="00164DA9"/>
    <w:rsid w:val="001664D9"/>
    <w:rsid w:val="001674E5"/>
    <w:rsid w:val="00170998"/>
    <w:rsid w:val="00170EBA"/>
    <w:rsid w:val="001713FC"/>
    <w:rsid w:val="001714D8"/>
    <w:rsid w:val="001718E4"/>
    <w:rsid w:val="0017346B"/>
    <w:rsid w:val="0017370F"/>
    <w:rsid w:val="001754ED"/>
    <w:rsid w:val="00175AB3"/>
    <w:rsid w:val="00175FFF"/>
    <w:rsid w:val="00180772"/>
    <w:rsid w:val="00180EAD"/>
    <w:rsid w:val="001813C8"/>
    <w:rsid w:val="00181D8D"/>
    <w:rsid w:val="0018363B"/>
    <w:rsid w:val="00183BC5"/>
    <w:rsid w:val="00185C7F"/>
    <w:rsid w:val="00186C94"/>
    <w:rsid w:val="001871F8"/>
    <w:rsid w:val="001872ED"/>
    <w:rsid w:val="001877F1"/>
    <w:rsid w:val="001900C1"/>
    <w:rsid w:val="00190109"/>
    <w:rsid w:val="001901F8"/>
    <w:rsid w:val="00193C71"/>
    <w:rsid w:val="00195937"/>
    <w:rsid w:val="001A0178"/>
    <w:rsid w:val="001A0300"/>
    <w:rsid w:val="001A0BF3"/>
    <w:rsid w:val="001A0E5F"/>
    <w:rsid w:val="001A2070"/>
    <w:rsid w:val="001A3180"/>
    <w:rsid w:val="001A37E5"/>
    <w:rsid w:val="001A4DC3"/>
    <w:rsid w:val="001A5313"/>
    <w:rsid w:val="001A55B4"/>
    <w:rsid w:val="001A5C00"/>
    <w:rsid w:val="001A623A"/>
    <w:rsid w:val="001B0333"/>
    <w:rsid w:val="001B1C69"/>
    <w:rsid w:val="001B3673"/>
    <w:rsid w:val="001B3B3E"/>
    <w:rsid w:val="001B4379"/>
    <w:rsid w:val="001B4A7E"/>
    <w:rsid w:val="001B5AEE"/>
    <w:rsid w:val="001B6EF2"/>
    <w:rsid w:val="001B70F1"/>
    <w:rsid w:val="001B74E7"/>
    <w:rsid w:val="001B790E"/>
    <w:rsid w:val="001C0528"/>
    <w:rsid w:val="001C2607"/>
    <w:rsid w:val="001C2BA1"/>
    <w:rsid w:val="001C3DB9"/>
    <w:rsid w:val="001C3F9B"/>
    <w:rsid w:val="001C3FE4"/>
    <w:rsid w:val="001C439A"/>
    <w:rsid w:val="001C46F7"/>
    <w:rsid w:val="001C6493"/>
    <w:rsid w:val="001C678C"/>
    <w:rsid w:val="001C6D0F"/>
    <w:rsid w:val="001C7CF1"/>
    <w:rsid w:val="001C7D8F"/>
    <w:rsid w:val="001C7E80"/>
    <w:rsid w:val="001C7E9C"/>
    <w:rsid w:val="001CCB19"/>
    <w:rsid w:val="001D00D4"/>
    <w:rsid w:val="001D0461"/>
    <w:rsid w:val="001D0FC5"/>
    <w:rsid w:val="001D12E2"/>
    <w:rsid w:val="001D1D9E"/>
    <w:rsid w:val="001D227E"/>
    <w:rsid w:val="001D266D"/>
    <w:rsid w:val="001D2C64"/>
    <w:rsid w:val="001D3474"/>
    <w:rsid w:val="001D34F7"/>
    <w:rsid w:val="001D353D"/>
    <w:rsid w:val="001D534C"/>
    <w:rsid w:val="001D539D"/>
    <w:rsid w:val="001D5802"/>
    <w:rsid w:val="001D5BF0"/>
    <w:rsid w:val="001D7BBD"/>
    <w:rsid w:val="001D7CB4"/>
    <w:rsid w:val="001D7FAB"/>
    <w:rsid w:val="001E177E"/>
    <w:rsid w:val="001E1EFB"/>
    <w:rsid w:val="001E2420"/>
    <w:rsid w:val="001E2A5D"/>
    <w:rsid w:val="001E3298"/>
    <w:rsid w:val="001E3314"/>
    <w:rsid w:val="001E435A"/>
    <w:rsid w:val="001E4F90"/>
    <w:rsid w:val="001E56C2"/>
    <w:rsid w:val="001E5A15"/>
    <w:rsid w:val="001E5BB5"/>
    <w:rsid w:val="001E6151"/>
    <w:rsid w:val="001E657F"/>
    <w:rsid w:val="001E6BE5"/>
    <w:rsid w:val="001F1AB4"/>
    <w:rsid w:val="001F216A"/>
    <w:rsid w:val="001F259B"/>
    <w:rsid w:val="001F32DA"/>
    <w:rsid w:val="001F4B82"/>
    <w:rsid w:val="001F514B"/>
    <w:rsid w:val="001F58A5"/>
    <w:rsid w:val="001F6D4D"/>
    <w:rsid w:val="001F6F32"/>
    <w:rsid w:val="0020057E"/>
    <w:rsid w:val="002012CD"/>
    <w:rsid w:val="002012F0"/>
    <w:rsid w:val="0020209A"/>
    <w:rsid w:val="00203125"/>
    <w:rsid w:val="00203845"/>
    <w:rsid w:val="00204032"/>
    <w:rsid w:val="0020472B"/>
    <w:rsid w:val="00204AB1"/>
    <w:rsid w:val="00204B49"/>
    <w:rsid w:val="00205B88"/>
    <w:rsid w:val="00205BC7"/>
    <w:rsid w:val="0020679F"/>
    <w:rsid w:val="00207561"/>
    <w:rsid w:val="002078E7"/>
    <w:rsid w:val="00210266"/>
    <w:rsid w:val="00210631"/>
    <w:rsid w:val="0021269B"/>
    <w:rsid w:val="002127DA"/>
    <w:rsid w:val="0021354A"/>
    <w:rsid w:val="00214701"/>
    <w:rsid w:val="002167DB"/>
    <w:rsid w:val="002173AE"/>
    <w:rsid w:val="00217EFF"/>
    <w:rsid w:val="0022078D"/>
    <w:rsid w:val="002216FF"/>
    <w:rsid w:val="0022195E"/>
    <w:rsid w:val="00222A34"/>
    <w:rsid w:val="0022364F"/>
    <w:rsid w:val="00223C5F"/>
    <w:rsid w:val="00223D1E"/>
    <w:rsid w:val="0022423E"/>
    <w:rsid w:val="00224436"/>
    <w:rsid w:val="0022598B"/>
    <w:rsid w:val="00225EE2"/>
    <w:rsid w:val="002266A4"/>
    <w:rsid w:val="00230C1C"/>
    <w:rsid w:val="00230F22"/>
    <w:rsid w:val="002317B3"/>
    <w:rsid w:val="00231BC1"/>
    <w:rsid w:val="00232F1E"/>
    <w:rsid w:val="00233832"/>
    <w:rsid w:val="00233ECD"/>
    <w:rsid w:val="0023400C"/>
    <w:rsid w:val="002343AD"/>
    <w:rsid w:val="00234CF8"/>
    <w:rsid w:val="00235311"/>
    <w:rsid w:val="002354B5"/>
    <w:rsid w:val="00235B42"/>
    <w:rsid w:val="0023673D"/>
    <w:rsid w:val="00237519"/>
    <w:rsid w:val="00240BF2"/>
    <w:rsid w:val="00240D1A"/>
    <w:rsid w:val="00242212"/>
    <w:rsid w:val="0024231B"/>
    <w:rsid w:val="00242498"/>
    <w:rsid w:val="00242E9B"/>
    <w:rsid w:val="00246218"/>
    <w:rsid w:val="002473FE"/>
    <w:rsid w:val="00250191"/>
    <w:rsid w:val="002509E6"/>
    <w:rsid w:val="00250E65"/>
    <w:rsid w:val="00250FD1"/>
    <w:rsid w:val="00251445"/>
    <w:rsid w:val="00252100"/>
    <w:rsid w:val="002531D8"/>
    <w:rsid w:val="002567C2"/>
    <w:rsid w:val="00257428"/>
    <w:rsid w:val="002618B3"/>
    <w:rsid w:val="00261B15"/>
    <w:rsid w:val="00262636"/>
    <w:rsid w:val="002627FD"/>
    <w:rsid w:val="00263194"/>
    <w:rsid w:val="0026367A"/>
    <w:rsid w:val="002643FD"/>
    <w:rsid w:val="00264A6F"/>
    <w:rsid w:val="00264E40"/>
    <w:rsid w:val="00264F9D"/>
    <w:rsid w:val="002660EF"/>
    <w:rsid w:val="002665C4"/>
    <w:rsid w:val="00266722"/>
    <w:rsid w:val="00270099"/>
    <w:rsid w:val="002717EF"/>
    <w:rsid w:val="0027219B"/>
    <w:rsid w:val="0027239F"/>
    <w:rsid w:val="00272F93"/>
    <w:rsid w:val="002758FE"/>
    <w:rsid w:val="0027665D"/>
    <w:rsid w:val="00276C0C"/>
    <w:rsid w:val="00277404"/>
    <w:rsid w:val="0028058E"/>
    <w:rsid w:val="0028063B"/>
    <w:rsid w:val="00281138"/>
    <w:rsid w:val="00281204"/>
    <w:rsid w:val="002814AC"/>
    <w:rsid w:val="00285524"/>
    <w:rsid w:val="002873D5"/>
    <w:rsid w:val="0028754B"/>
    <w:rsid w:val="00291E0E"/>
    <w:rsid w:val="00291E2C"/>
    <w:rsid w:val="0029408E"/>
    <w:rsid w:val="00294273"/>
    <w:rsid w:val="00294602"/>
    <w:rsid w:val="002959CD"/>
    <w:rsid w:val="00296D33"/>
    <w:rsid w:val="002A0060"/>
    <w:rsid w:val="002A1413"/>
    <w:rsid w:val="002A1E27"/>
    <w:rsid w:val="002A29C5"/>
    <w:rsid w:val="002A3978"/>
    <w:rsid w:val="002A43AA"/>
    <w:rsid w:val="002A45B1"/>
    <w:rsid w:val="002A68B7"/>
    <w:rsid w:val="002A6A72"/>
    <w:rsid w:val="002B0CDD"/>
    <w:rsid w:val="002B0E16"/>
    <w:rsid w:val="002B34D9"/>
    <w:rsid w:val="002B407B"/>
    <w:rsid w:val="002B47E2"/>
    <w:rsid w:val="002B5A20"/>
    <w:rsid w:val="002B7251"/>
    <w:rsid w:val="002B75A1"/>
    <w:rsid w:val="002B7BAD"/>
    <w:rsid w:val="002B7EBB"/>
    <w:rsid w:val="002C2371"/>
    <w:rsid w:val="002C269F"/>
    <w:rsid w:val="002C327B"/>
    <w:rsid w:val="002C4601"/>
    <w:rsid w:val="002C4AB3"/>
    <w:rsid w:val="002C562F"/>
    <w:rsid w:val="002C56AD"/>
    <w:rsid w:val="002C5A97"/>
    <w:rsid w:val="002C634E"/>
    <w:rsid w:val="002C77D8"/>
    <w:rsid w:val="002D07B2"/>
    <w:rsid w:val="002D084A"/>
    <w:rsid w:val="002D09B7"/>
    <w:rsid w:val="002D2EB3"/>
    <w:rsid w:val="002D3A2F"/>
    <w:rsid w:val="002D3A5D"/>
    <w:rsid w:val="002D3A6F"/>
    <w:rsid w:val="002D40A7"/>
    <w:rsid w:val="002D53F0"/>
    <w:rsid w:val="002D59D7"/>
    <w:rsid w:val="002E0015"/>
    <w:rsid w:val="002E0388"/>
    <w:rsid w:val="002E061B"/>
    <w:rsid w:val="002E2DA6"/>
    <w:rsid w:val="002E431B"/>
    <w:rsid w:val="002E47D0"/>
    <w:rsid w:val="002E4CC0"/>
    <w:rsid w:val="002E4E32"/>
    <w:rsid w:val="002E5F3A"/>
    <w:rsid w:val="002E7806"/>
    <w:rsid w:val="002F030D"/>
    <w:rsid w:val="002F037F"/>
    <w:rsid w:val="002F1D51"/>
    <w:rsid w:val="002F2459"/>
    <w:rsid w:val="002F414B"/>
    <w:rsid w:val="002F42E7"/>
    <w:rsid w:val="002F4B03"/>
    <w:rsid w:val="002F5244"/>
    <w:rsid w:val="002F61FA"/>
    <w:rsid w:val="002F7327"/>
    <w:rsid w:val="002F7A3F"/>
    <w:rsid w:val="00300374"/>
    <w:rsid w:val="00300613"/>
    <w:rsid w:val="00300F2C"/>
    <w:rsid w:val="003017F2"/>
    <w:rsid w:val="003020F1"/>
    <w:rsid w:val="0030225A"/>
    <w:rsid w:val="00302A06"/>
    <w:rsid w:val="00302E66"/>
    <w:rsid w:val="00303D7E"/>
    <w:rsid w:val="00305AD0"/>
    <w:rsid w:val="0030617C"/>
    <w:rsid w:val="00306271"/>
    <w:rsid w:val="0031058A"/>
    <w:rsid w:val="003108F1"/>
    <w:rsid w:val="00310EFB"/>
    <w:rsid w:val="003129F8"/>
    <w:rsid w:val="00314A59"/>
    <w:rsid w:val="00314F22"/>
    <w:rsid w:val="00317A78"/>
    <w:rsid w:val="00317EA5"/>
    <w:rsid w:val="0032085A"/>
    <w:rsid w:val="003211C7"/>
    <w:rsid w:val="00321DE4"/>
    <w:rsid w:val="00322672"/>
    <w:rsid w:val="0032373A"/>
    <w:rsid w:val="00324165"/>
    <w:rsid w:val="0032463A"/>
    <w:rsid w:val="00324EDD"/>
    <w:rsid w:val="00326893"/>
    <w:rsid w:val="00327142"/>
    <w:rsid w:val="0032782C"/>
    <w:rsid w:val="00327BB5"/>
    <w:rsid w:val="003307E4"/>
    <w:rsid w:val="00331098"/>
    <w:rsid w:val="0033154B"/>
    <w:rsid w:val="00331C2B"/>
    <w:rsid w:val="00331CFE"/>
    <w:rsid w:val="00332DA6"/>
    <w:rsid w:val="00334C6D"/>
    <w:rsid w:val="0033569B"/>
    <w:rsid w:val="003371AD"/>
    <w:rsid w:val="00337336"/>
    <w:rsid w:val="003402D5"/>
    <w:rsid w:val="0034086D"/>
    <w:rsid w:val="00341812"/>
    <w:rsid w:val="00341D6E"/>
    <w:rsid w:val="0034228C"/>
    <w:rsid w:val="0034246D"/>
    <w:rsid w:val="00342F07"/>
    <w:rsid w:val="003434CF"/>
    <w:rsid w:val="003439B0"/>
    <w:rsid w:val="00344910"/>
    <w:rsid w:val="00344E21"/>
    <w:rsid w:val="0034541B"/>
    <w:rsid w:val="0034683F"/>
    <w:rsid w:val="00346944"/>
    <w:rsid w:val="00346DF5"/>
    <w:rsid w:val="0035020A"/>
    <w:rsid w:val="00350CB6"/>
    <w:rsid w:val="00351D36"/>
    <w:rsid w:val="00352A44"/>
    <w:rsid w:val="00353847"/>
    <w:rsid w:val="003540CB"/>
    <w:rsid w:val="00355E00"/>
    <w:rsid w:val="00356500"/>
    <w:rsid w:val="00360235"/>
    <w:rsid w:val="00360BFC"/>
    <w:rsid w:val="0036156B"/>
    <w:rsid w:val="00361A44"/>
    <w:rsid w:val="0036213B"/>
    <w:rsid w:val="0036213F"/>
    <w:rsid w:val="00362B69"/>
    <w:rsid w:val="003636AE"/>
    <w:rsid w:val="00363D26"/>
    <w:rsid w:val="0036420B"/>
    <w:rsid w:val="00365CA7"/>
    <w:rsid w:val="00365F47"/>
    <w:rsid w:val="003665B1"/>
    <w:rsid w:val="003672E3"/>
    <w:rsid w:val="003709FD"/>
    <w:rsid w:val="003716EF"/>
    <w:rsid w:val="0037281E"/>
    <w:rsid w:val="0037361A"/>
    <w:rsid w:val="0037368C"/>
    <w:rsid w:val="00373E4C"/>
    <w:rsid w:val="00374286"/>
    <w:rsid w:val="00374BDD"/>
    <w:rsid w:val="00374F4C"/>
    <w:rsid w:val="00375D1A"/>
    <w:rsid w:val="003760BD"/>
    <w:rsid w:val="00376BBD"/>
    <w:rsid w:val="00377485"/>
    <w:rsid w:val="00377550"/>
    <w:rsid w:val="003810CE"/>
    <w:rsid w:val="003815F2"/>
    <w:rsid w:val="0038198E"/>
    <w:rsid w:val="00381B3D"/>
    <w:rsid w:val="003827ED"/>
    <w:rsid w:val="00384BE3"/>
    <w:rsid w:val="0038543D"/>
    <w:rsid w:val="0038764B"/>
    <w:rsid w:val="00390558"/>
    <w:rsid w:val="003908B4"/>
    <w:rsid w:val="0039092B"/>
    <w:rsid w:val="00393753"/>
    <w:rsid w:val="00395CC1"/>
    <w:rsid w:val="00397942"/>
    <w:rsid w:val="003A0E1B"/>
    <w:rsid w:val="003A181F"/>
    <w:rsid w:val="003A2425"/>
    <w:rsid w:val="003A3098"/>
    <w:rsid w:val="003A37A3"/>
    <w:rsid w:val="003A3AB5"/>
    <w:rsid w:val="003A5142"/>
    <w:rsid w:val="003A5ED4"/>
    <w:rsid w:val="003A7507"/>
    <w:rsid w:val="003A75EB"/>
    <w:rsid w:val="003B1D7C"/>
    <w:rsid w:val="003B217A"/>
    <w:rsid w:val="003B225C"/>
    <w:rsid w:val="003B26FE"/>
    <w:rsid w:val="003B2E65"/>
    <w:rsid w:val="003B4259"/>
    <w:rsid w:val="003B4BBA"/>
    <w:rsid w:val="003B687C"/>
    <w:rsid w:val="003C04D1"/>
    <w:rsid w:val="003C24DE"/>
    <w:rsid w:val="003C2576"/>
    <w:rsid w:val="003C31E4"/>
    <w:rsid w:val="003C4D25"/>
    <w:rsid w:val="003C4D81"/>
    <w:rsid w:val="003C5713"/>
    <w:rsid w:val="003C5F6B"/>
    <w:rsid w:val="003C6F0B"/>
    <w:rsid w:val="003C6FED"/>
    <w:rsid w:val="003D0682"/>
    <w:rsid w:val="003D1D63"/>
    <w:rsid w:val="003D2134"/>
    <w:rsid w:val="003D2F83"/>
    <w:rsid w:val="003D39FE"/>
    <w:rsid w:val="003D3B89"/>
    <w:rsid w:val="003D41A3"/>
    <w:rsid w:val="003D48AC"/>
    <w:rsid w:val="003D4E19"/>
    <w:rsid w:val="003D5AC5"/>
    <w:rsid w:val="003D621A"/>
    <w:rsid w:val="003D77CA"/>
    <w:rsid w:val="003DF111"/>
    <w:rsid w:val="003E170C"/>
    <w:rsid w:val="003E272F"/>
    <w:rsid w:val="003E35F9"/>
    <w:rsid w:val="003E38B3"/>
    <w:rsid w:val="003E3D4E"/>
    <w:rsid w:val="003E5F89"/>
    <w:rsid w:val="003E6A94"/>
    <w:rsid w:val="003E7E0B"/>
    <w:rsid w:val="003F039D"/>
    <w:rsid w:val="003F4446"/>
    <w:rsid w:val="003F571F"/>
    <w:rsid w:val="003F59CF"/>
    <w:rsid w:val="003F67F5"/>
    <w:rsid w:val="003F69E5"/>
    <w:rsid w:val="003F7EB4"/>
    <w:rsid w:val="004010EA"/>
    <w:rsid w:val="0040137C"/>
    <w:rsid w:val="00401AC3"/>
    <w:rsid w:val="004034EC"/>
    <w:rsid w:val="00404417"/>
    <w:rsid w:val="00405D61"/>
    <w:rsid w:val="00407DEB"/>
    <w:rsid w:val="00410501"/>
    <w:rsid w:val="004116AA"/>
    <w:rsid w:val="004126A4"/>
    <w:rsid w:val="004127CE"/>
    <w:rsid w:val="00413225"/>
    <w:rsid w:val="004135B7"/>
    <w:rsid w:val="00414106"/>
    <w:rsid w:val="004143F3"/>
    <w:rsid w:val="00414792"/>
    <w:rsid w:val="00414825"/>
    <w:rsid w:val="00415311"/>
    <w:rsid w:val="00416A01"/>
    <w:rsid w:val="00416AD8"/>
    <w:rsid w:val="00416EF4"/>
    <w:rsid w:val="00417465"/>
    <w:rsid w:val="004175D7"/>
    <w:rsid w:val="00417EC7"/>
    <w:rsid w:val="00420173"/>
    <w:rsid w:val="0042043D"/>
    <w:rsid w:val="004210F9"/>
    <w:rsid w:val="0042218C"/>
    <w:rsid w:val="004221CE"/>
    <w:rsid w:val="0042282A"/>
    <w:rsid w:val="00423EB8"/>
    <w:rsid w:val="00423F58"/>
    <w:rsid w:val="00424492"/>
    <w:rsid w:val="004255FD"/>
    <w:rsid w:val="00426954"/>
    <w:rsid w:val="00426B11"/>
    <w:rsid w:val="00427E05"/>
    <w:rsid w:val="0043011E"/>
    <w:rsid w:val="00430CAC"/>
    <w:rsid w:val="0043183B"/>
    <w:rsid w:val="00432034"/>
    <w:rsid w:val="004327B0"/>
    <w:rsid w:val="00432910"/>
    <w:rsid w:val="00432B09"/>
    <w:rsid w:val="00433432"/>
    <w:rsid w:val="0043422F"/>
    <w:rsid w:val="0043475A"/>
    <w:rsid w:val="00434912"/>
    <w:rsid w:val="004354BB"/>
    <w:rsid w:val="00436559"/>
    <w:rsid w:val="00436F72"/>
    <w:rsid w:val="0044063E"/>
    <w:rsid w:val="004408D6"/>
    <w:rsid w:val="004413C6"/>
    <w:rsid w:val="004416BC"/>
    <w:rsid w:val="0044312D"/>
    <w:rsid w:val="0044693B"/>
    <w:rsid w:val="00446F1D"/>
    <w:rsid w:val="00447807"/>
    <w:rsid w:val="00447D2C"/>
    <w:rsid w:val="004502DF"/>
    <w:rsid w:val="00450B5C"/>
    <w:rsid w:val="004524B0"/>
    <w:rsid w:val="0045373A"/>
    <w:rsid w:val="00454699"/>
    <w:rsid w:val="00455335"/>
    <w:rsid w:val="00455D9A"/>
    <w:rsid w:val="00455DB1"/>
    <w:rsid w:val="004560E8"/>
    <w:rsid w:val="00457C28"/>
    <w:rsid w:val="004600F8"/>
    <w:rsid w:val="004625E1"/>
    <w:rsid w:val="004668F9"/>
    <w:rsid w:val="00466CB2"/>
    <w:rsid w:val="00470AC9"/>
    <w:rsid w:val="004710A3"/>
    <w:rsid w:val="004717E6"/>
    <w:rsid w:val="004722ED"/>
    <w:rsid w:val="00472CA8"/>
    <w:rsid w:val="0047489F"/>
    <w:rsid w:val="0047499F"/>
    <w:rsid w:val="00474A65"/>
    <w:rsid w:val="0047573E"/>
    <w:rsid w:val="00475F63"/>
    <w:rsid w:val="00476D12"/>
    <w:rsid w:val="00477E5A"/>
    <w:rsid w:val="0048023C"/>
    <w:rsid w:val="00480B4D"/>
    <w:rsid w:val="004816DE"/>
    <w:rsid w:val="00481886"/>
    <w:rsid w:val="004825D0"/>
    <w:rsid w:val="00483921"/>
    <w:rsid w:val="00484A9A"/>
    <w:rsid w:val="00484B02"/>
    <w:rsid w:val="00484C7E"/>
    <w:rsid w:val="00484D37"/>
    <w:rsid w:val="00485E88"/>
    <w:rsid w:val="00486BDA"/>
    <w:rsid w:val="004872FD"/>
    <w:rsid w:val="004878C7"/>
    <w:rsid w:val="00487BB6"/>
    <w:rsid w:val="00491039"/>
    <w:rsid w:val="004916DF"/>
    <w:rsid w:val="00491B56"/>
    <w:rsid w:val="00491D65"/>
    <w:rsid w:val="0049261A"/>
    <w:rsid w:val="00494D35"/>
    <w:rsid w:val="00495CC5"/>
    <w:rsid w:val="00496136"/>
    <w:rsid w:val="004968AB"/>
    <w:rsid w:val="004A028A"/>
    <w:rsid w:val="004A0304"/>
    <w:rsid w:val="004A0472"/>
    <w:rsid w:val="004A1625"/>
    <w:rsid w:val="004A1DD2"/>
    <w:rsid w:val="004A3824"/>
    <w:rsid w:val="004A4819"/>
    <w:rsid w:val="004A4B7F"/>
    <w:rsid w:val="004A56F1"/>
    <w:rsid w:val="004A5AEB"/>
    <w:rsid w:val="004A61C5"/>
    <w:rsid w:val="004A6292"/>
    <w:rsid w:val="004A6DEC"/>
    <w:rsid w:val="004A7879"/>
    <w:rsid w:val="004B0D81"/>
    <w:rsid w:val="004B10A7"/>
    <w:rsid w:val="004B125B"/>
    <w:rsid w:val="004B12CA"/>
    <w:rsid w:val="004B1996"/>
    <w:rsid w:val="004B1E36"/>
    <w:rsid w:val="004B2958"/>
    <w:rsid w:val="004B30EA"/>
    <w:rsid w:val="004B4917"/>
    <w:rsid w:val="004B57AF"/>
    <w:rsid w:val="004B6147"/>
    <w:rsid w:val="004B68A2"/>
    <w:rsid w:val="004B779E"/>
    <w:rsid w:val="004C03AB"/>
    <w:rsid w:val="004C1A8C"/>
    <w:rsid w:val="004C205D"/>
    <w:rsid w:val="004C27AB"/>
    <w:rsid w:val="004C4153"/>
    <w:rsid w:val="004C49B1"/>
    <w:rsid w:val="004C5171"/>
    <w:rsid w:val="004C6CDD"/>
    <w:rsid w:val="004C7308"/>
    <w:rsid w:val="004D01EE"/>
    <w:rsid w:val="004D070E"/>
    <w:rsid w:val="004D0947"/>
    <w:rsid w:val="004D0A9B"/>
    <w:rsid w:val="004D108D"/>
    <w:rsid w:val="004D238F"/>
    <w:rsid w:val="004D31CC"/>
    <w:rsid w:val="004D3489"/>
    <w:rsid w:val="004D36E9"/>
    <w:rsid w:val="004D3DAA"/>
    <w:rsid w:val="004D3FBC"/>
    <w:rsid w:val="004D52C0"/>
    <w:rsid w:val="004D53A6"/>
    <w:rsid w:val="004D6523"/>
    <w:rsid w:val="004D69DB"/>
    <w:rsid w:val="004D6FEB"/>
    <w:rsid w:val="004D7163"/>
    <w:rsid w:val="004D7861"/>
    <w:rsid w:val="004E1378"/>
    <w:rsid w:val="004E303C"/>
    <w:rsid w:val="004E5112"/>
    <w:rsid w:val="004E5245"/>
    <w:rsid w:val="004E568C"/>
    <w:rsid w:val="004E61D3"/>
    <w:rsid w:val="004E6301"/>
    <w:rsid w:val="004E6F7D"/>
    <w:rsid w:val="004E799C"/>
    <w:rsid w:val="004F0032"/>
    <w:rsid w:val="004F0B1B"/>
    <w:rsid w:val="004F1141"/>
    <w:rsid w:val="004F4075"/>
    <w:rsid w:val="004F5455"/>
    <w:rsid w:val="004F6A24"/>
    <w:rsid w:val="004F70FC"/>
    <w:rsid w:val="004F7233"/>
    <w:rsid w:val="00501B97"/>
    <w:rsid w:val="005023BC"/>
    <w:rsid w:val="00502900"/>
    <w:rsid w:val="0050339C"/>
    <w:rsid w:val="00503ECC"/>
    <w:rsid w:val="00503FDF"/>
    <w:rsid w:val="00504C08"/>
    <w:rsid w:val="00505EEB"/>
    <w:rsid w:val="005061F5"/>
    <w:rsid w:val="00507427"/>
    <w:rsid w:val="00507831"/>
    <w:rsid w:val="0050791A"/>
    <w:rsid w:val="00507AF4"/>
    <w:rsid w:val="00507CA4"/>
    <w:rsid w:val="005103BD"/>
    <w:rsid w:val="0051068B"/>
    <w:rsid w:val="00511853"/>
    <w:rsid w:val="00513F3F"/>
    <w:rsid w:val="00514524"/>
    <w:rsid w:val="00514BE5"/>
    <w:rsid w:val="005158A2"/>
    <w:rsid w:val="005165D8"/>
    <w:rsid w:val="00517463"/>
    <w:rsid w:val="00517A0B"/>
    <w:rsid w:val="00517F28"/>
    <w:rsid w:val="005215CB"/>
    <w:rsid w:val="00521E4B"/>
    <w:rsid w:val="00521F21"/>
    <w:rsid w:val="00521FD3"/>
    <w:rsid w:val="005228EB"/>
    <w:rsid w:val="00522D3F"/>
    <w:rsid w:val="0052342A"/>
    <w:rsid w:val="00523760"/>
    <w:rsid w:val="005242D0"/>
    <w:rsid w:val="0052455E"/>
    <w:rsid w:val="005261B7"/>
    <w:rsid w:val="00527D9A"/>
    <w:rsid w:val="00530C40"/>
    <w:rsid w:val="005315DA"/>
    <w:rsid w:val="005319A4"/>
    <w:rsid w:val="005340DE"/>
    <w:rsid w:val="00534DB7"/>
    <w:rsid w:val="00534DE3"/>
    <w:rsid w:val="0053577A"/>
    <w:rsid w:val="00537B3A"/>
    <w:rsid w:val="00537B9D"/>
    <w:rsid w:val="00537FCF"/>
    <w:rsid w:val="00541C66"/>
    <w:rsid w:val="00542A10"/>
    <w:rsid w:val="00542FD9"/>
    <w:rsid w:val="005436CE"/>
    <w:rsid w:val="00544E23"/>
    <w:rsid w:val="00546450"/>
    <w:rsid w:val="00546D3C"/>
    <w:rsid w:val="00547B1C"/>
    <w:rsid w:val="0055077F"/>
    <w:rsid w:val="00550DDD"/>
    <w:rsid w:val="0055144D"/>
    <w:rsid w:val="005517BB"/>
    <w:rsid w:val="005520AA"/>
    <w:rsid w:val="00553EA3"/>
    <w:rsid w:val="005550B4"/>
    <w:rsid w:val="00555599"/>
    <w:rsid w:val="00556A7E"/>
    <w:rsid w:val="00560D75"/>
    <w:rsid w:val="005610CE"/>
    <w:rsid w:val="00561360"/>
    <w:rsid w:val="005613A7"/>
    <w:rsid w:val="005614A4"/>
    <w:rsid w:val="00562394"/>
    <w:rsid w:val="00562C41"/>
    <w:rsid w:val="005636E5"/>
    <w:rsid w:val="00563985"/>
    <w:rsid w:val="00564944"/>
    <w:rsid w:val="00564C73"/>
    <w:rsid w:val="00566B74"/>
    <w:rsid w:val="00566BAC"/>
    <w:rsid w:val="00567422"/>
    <w:rsid w:val="005676D3"/>
    <w:rsid w:val="00570C7E"/>
    <w:rsid w:val="0057251B"/>
    <w:rsid w:val="00572C7D"/>
    <w:rsid w:val="005732F6"/>
    <w:rsid w:val="00574724"/>
    <w:rsid w:val="005748FB"/>
    <w:rsid w:val="00574F94"/>
    <w:rsid w:val="0057506F"/>
    <w:rsid w:val="00575D5B"/>
    <w:rsid w:val="00576E6A"/>
    <w:rsid w:val="00580FC2"/>
    <w:rsid w:val="00583237"/>
    <w:rsid w:val="00584B3E"/>
    <w:rsid w:val="005852C5"/>
    <w:rsid w:val="00586A53"/>
    <w:rsid w:val="0058711F"/>
    <w:rsid w:val="00587144"/>
    <w:rsid w:val="00587752"/>
    <w:rsid w:val="00587C7D"/>
    <w:rsid w:val="00590315"/>
    <w:rsid w:val="005903A7"/>
    <w:rsid w:val="0059130B"/>
    <w:rsid w:val="00591B3C"/>
    <w:rsid w:val="00591B6A"/>
    <w:rsid w:val="005922ED"/>
    <w:rsid w:val="005937ED"/>
    <w:rsid w:val="005939FC"/>
    <w:rsid w:val="0059437B"/>
    <w:rsid w:val="00595A14"/>
    <w:rsid w:val="00595CB6"/>
    <w:rsid w:val="00596215"/>
    <w:rsid w:val="005A11CB"/>
    <w:rsid w:val="005A1987"/>
    <w:rsid w:val="005A2252"/>
    <w:rsid w:val="005A3A65"/>
    <w:rsid w:val="005A4913"/>
    <w:rsid w:val="005A50A3"/>
    <w:rsid w:val="005A57B0"/>
    <w:rsid w:val="005A662E"/>
    <w:rsid w:val="005A6C2D"/>
    <w:rsid w:val="005B1E9B"/>
    <w:rsid w:val="005B25C0"/>
    <w:rsid w:val="005B2610"/>
    <w:rsid w:val="005B4BFC"/>
    <w:rsid w:val="005B574D"/>
    <w:rsid w:val="005B5850"/>
    <w:rsid w:val="005B7426"/>
    <w:rsid w:val="005B777C"/>
    <w:rsid w:val="005B7A71"/>
    <w:rsid w:val="005C182E"/>
    <w:rsid w:val="005C1879"/>
    <w:rsid w:val="005C19D6"/>
    <w:rsid w:val="005C204A"/>
    <w:rsid w:val="005C2547"/>
    <w:rsid w:val="005C2CF9"/>
    <w:rsid w:val="005C40C0"/>
    <w:rsid w:val="005C4224"/>
    <w:rsid w:val="005C47AE"/>
    <w:rsid w:val="005C4A59"/>
    <w:rsid w:val="005C5278"/>
    <w:rsid w:val="005C5C9A"/>
    <w:rsid w:val="005C5FBF"/>
    <w:rsid w:val="005C741A"/>
    <w:rsid w:val="005C7722"/>
    <w:rsid w:val="005D0045"/>
    <w:rsid w:val="005D1510"/>
    <w:rsid w:val="005D2312"/>
    <w:rsid w:val="005D2A80"/>
    <w:rsid w:val="005D3DB7"/>
    <w:rsid w:val="005D43D1"/>
    <w:rsid w:val="005D4E21"/>
    <w:rsid w:val="005D615E"/>
    <w:rsid w:val="005D6886"/>
    <w:rsid w:val="005D6A1E"/>
    <w:rsid w:val="005D7434"/>
    <w:rsid w:val="005D7F81"/>
    <w:rsid w:val="005E2056"/>
    <w:rsid w:val="005E43AE"/>
    <w:rsid w:val="005E5E2B"/>
    <w:rsid w:val="005E6957"/>
    <w:rsid w:val="005F1506"/>
    <w:rsid w:val="005F1800"/>
    <w:rsid w:val="005F1930"/>
    <w:rsid w:val="005F200E"/>
    <w:rsid w:val="005F31D4"/>
    <w:rsid w:val="005F4518"/>
    <w:rsid w:val="005F4F72"/>
    <w:rsid w:val="005F50BE"/>
    <w:rsid w:val="005F57BD"/>
    <w:rsid w:val="005F6709"/>
    <w:rsid w:val="0060002F"/>
    <w:rsid w:val="006000AB"/>
    <w:rsid w:val="0060055B"/>
    <w:rsid w:val="00600C0E"/>
    <w:rsid w:val="00600D7A"/>
    <w:rsid w:val="00600EAC"/>
    <w:rsid w:val="00602238"/>
    <w:rsid w:val="006023B4"/>
    <w:rsid w:val="00605434"/>
    <w:rsid w:val="006056A7"/>
    <w:rsid w:val="00605B13"/>
    <w:rsid w:val="00605FE0"/>
    <w:rsid w:val="006061A5"/>
    <w:rsid w:val="00607A52"/>
    <w:rsid w:val="00612041"/>
    <w:rsid w:val="00613FAD"/>
    <w:rsid w:val="00614447"/>
    <w:rsid w:val="00615B68"/>
    <w:rsid w:val="00617D57"/>
    <w:rsid w:val="00620A8E"/>
    <w:rsid w:val="00620DD8"/>
    <w:rsid w:val="00622914"/>
    <w:rsid w:val="00622A3A"/>
    <w:rsid w:val="0062428D"/>
    <w:rsid w:val="00624472"/>
    <w:rsid w:val="00624C58"/>
    <w:rsid w:val="006257EF"/>
    <w:rsid w:val="00625CE6"/>
    <w:rsid w:val="00625F46"/>
    <w:rsid w:val="00626366"/>
    <w:rsid w:val="006273B0"/>
    <w:rsid w:val="006300F0"/>
    <w:rsid w:val="006304FE"/>
    <w:rsid w:val="00630FB1"/>
    <w:rsid w:val="006314E2"/>
    <w:rsid w:val="00635D39"/>
    <w:rsid w:val="006366C2"/>
    <w:rsid w:val="00636808"/>
    <w:rsid w:val="00636935"/>
    <w:rsid w:val="00636D70"/>
    <w:rsid w:val="006373F3"/>
    <w:rsid w:val="00642857"/>
    <w:rsid w:val="00642DD8"/>
    <w:rsid w:val="00643A3A"/>
    <w:rsid w:val="006444BD"/>
    <w:rsid w:val="00644C9D"/>
    <w:rsid w:val="0064548D"/>
    <w:rsid w:val="00647250"/>
    <w:rsid w:val="00647DF6"/>
    <w:rsid w:val="006504C7"/>
    <w:rsid w:val="00650981"/>
    <w:rsid w:val="00652D93"/>
    <w:rsid w:val="006539DB"/>
    <w:rsid w:val="00653DF7"/>
    <w:rsid w:val="00654198"/>
    <w:rsid w:val="0065450E"/>
    <w:rsid w:val="00655BFD"/>
    <w:rsid w:val="0065707B"/>
    <w:rsid w:val="0065762E"/>
    <w:rsid w:val="00657A33"/>
    <w:rsid w:val="00660BC9"/>
    <w:rsid w:val="00660E1F"/>
    <w:rsid w:val="006628F1"/>
    <w:rsid w:val="0066394F"/>
    <w:rsid w:val="00663BE8"/>
    <w:rsid w:val="00663D6F"/>
    <w:rsid w:val="00664BD6"/>
    <w:rsid w:val="006655B8"/>
    <w:rsid w:val="0067028B"/>
    <w:rsid w:val="0067110C"/>
    <w:rsid w:val="00672828"/>
    <w:rsid w:val="006732C1"/>
    <w:rsid w:val="006735AF"/>
    <w:rsid w:val="00673CE0"/>
    <w:rsid w:val="00674793"/>
    <w:rsid w:val="00674BC9"/>
    <w:rsid w:val="00675417"/>
    <w:rsid w:val="0067778F"/>
    <w:rsid w:val="0068045E"/>
    <w:rsid w:val="006808E1"/>
    <w:rsid w:val="00681E29"/>
    <w:rsid w:val="0068272D"/>
    <w:rsid w:val="00683F78"/>
    <w:rsid w:val="006840CF"/>
    <w:rsid w:val="006840DA"/>
    <w:rsid w:val="00685EB2"/>
    <w:rsid w:val="00685FE1"/>
    <w:rsid w:val="006869A6"/>
    <w:rsid w:val="00687733"/>
    <w:rsid w:val="00690D26"/>
    <w:rsid w:val="0069190B"/>
    <w:rsid w:val="0069240B"/>
    <w:rsid w:val="00692B04"/>
    <w:rsid w:val="00693C50"/>
    <w:rsid w:val="00693EED"/>
    <w:rsid w:val="0069556D"/>
    <w:rsid w:val="006958BF"/>
    <w:rsid w:val="006964AB"/>
    <w:rsid w:val="00696CBB"/>
    <w:rsid w:val="006A083F"/>
    <w:rsid w:val="006A1A51"/>
    <w:rsid w:val="006A2C0C"/>
    <w:rsid w:val="006A3165"/>
    <w:rsid w:val="006A3345"/>
    <w:rsid w:val="006A561A"/>
    <w:rsid w:val="006A620F"/>
    <w:rsid w:val="006A62FD"/>
    <w:rsid w:val="006A6415"/>
    <w:rsid w:val="006A7F92"/>
    <w:rsid w:val="006B0378"/>
    <w:rsid w:val="006B042B"/>
    <w:rsid w:val="006B26B4"/>
    <w:rsid w:val="006B3368"/>
    <w:rsid w:val="006B3745"/>
    <w:rsid w:val="006B3919"/>
    <w:rsid w:val="006B3A43"/>
    <w:rsid w:val="006B40D9"/>
    <w:rsid w:val="006B425A"/>
    <w:rsid w:val="006B48A5"/>
    <w:rsid w:val="006B50D3"/>
    <w:rsid w:val="006B5CC0"/>
    <w:rsid w:val="006B5E2E"/>
    <w:rsid w:val="006B6AB1"/>
    <w:rsid w:val="006B7992"/>
    <w:rsid w:val="006B7AC5"/>
    <w:rsid w:val="006B7B89"/>
    <w:rsid w:val="006C06E3"/>
    <w:rsid w:val="006C3A79"/>
    <w:rsid w:val="006C3D8A"/>
    <w:rsid w:val="006C4CBD"/>
    <w:rsid w:val="006C544D"/>
    <w:rsid w:val="006C7093"/>
    <w:rsid w:val="006C7777"/>
    <w:rsid w:val="006C7A34"/>
    <w:rsid w:val="006D0073"/>
    <w:rsid w:val="006D184B"/>
    <w:rsid w:val="006D4236"/>
    <w:rsid w:val="006D481F"/>
    <w:rsid w:val="006D513F"/>
    <w:rsid w:val="006D67D6"/>
    <w:rsid w:val="006D7907"/>
    <w:rsid w:val="006E004B"/>
    <w:rsid w:val="006E01F0"/>
    <w:rsid w:val="006E0F5B"/>
    <w:rsid w:val="006E17A4"/>
    <w:rsid w:val="006E197B"/>
    <w:rsid w:val="006E1ED1"/>
    <w:rsid w:val="006E2086"/>
    <w:rsid w:val="006E3522"/>
    <w:rsid w:val="006E3AF7"/>
    <w:rsid w:val="006E506E"/>
    <w:rsid w:val="006E552F"/>
    <w:rsid w:val="006E6CC6"/>
    <w:rsid w:val="006E73A2"/>
    <w:rsid w:val="006E7A4B"/>
    <w:rsid w:val="006F19D8"/>
    <w:rsid w:val="006F21AA"/>
    <w:rsid w:val="006F3055"/>
    <w:rsid w:val="006F3282"/>
    <w:rsid w:val="006F378A"/>
    <w:rsid w:val="006F44AE"/>
    <w:rsid w:val="006F4D5A"/>
    <w:rsid w:val="006F51A5"/>
    <w:rsid w:val="006F5BB4"/>
    <w:rsid w:val="006F6A59"/>
    <w:rsid w:val="006F6AB3"/>
    <w:rsid w:val="006F6BE7"/>
    <w:rsid w:val="006F6D18"/>
    <w:rsid w:val="006F6E38"/>
    <w:rsid w:val="006F78BB"/>
    <w:rsid w:val="007005DB"/>
    <w:rsid w:val="007022FF"/>
    <w:rsid w:val="00704978"/>
    <w:rsid w:val="00704987"/>
    <w:rsid w:val="0070579E"/>
    <w:rsid w:val="007057D1"/>
    <w:rsid w:val="007067D7"/>
    <w:rsid w:val="00706AA4"/>
    <w:rsid w:val="00707C12"/>
    <w:rsid w:val="00707FB6"/>
    <w:rsid w:val="007100E0"/>
    <w:rsid w:val="00710167"/>
    <w:rsid w:val="00710241"/>
    <w:rsid w:val="00710288"/>
    <w:rsid w:val="00710ACB"/>
    <w:rsid w:val="00710B60"/>
    <w:rsid w:val="00713B63"/>
    <w:rsid w:val="00714529"/>
    <w:rsid w:val="00715442"/>
    <w:rsid w:val="00715AFC"/>
    <w:rsid w:val="00720FD9"/>
    <w:rsid w:val="00721656"/>
    <w:rsid w:val="00721C0D"/>
    <w:rsid w:val="00721E6F"/>
    <w:rsid w:val="00721F9B"/>
    <w:rsid w:val="00723896"/>
    <w:rsid w:val="007246FC"/>
    <w:rsid w:val="0072514D"/>
    <w:rsid w:val="00725B96"/>
    <w:rsid w:val="00725BD1"/>
    <w:rsid w:val="007267B0"/>
    <w:rsid w:val="00726A8B"/>
    <w:rsid w:val="00726FF2"/>
    <w:rsid w:val="00727560"/>
    <w:rsid w:val="00730708"/>
    <w:rsid w:val="00731408"/>
    <w:rsid w:val="0073148C"/>
    <w:rsid w:val="00732732"/>
    <w:rsid w:val="007334E4"/>
    <w:rsid w:val="00733C4C"/>
    <w:rsid w:val="007340B5"/>
    <w:rsid w:val="007358D3"/>
    <w:rsid w:val="00735BF7"/>
    <w:rsid w:val="00735D7A"/>
    <w:rsid w:val="007360AD"/>
    <w:rsid w:val="00736866"/>
    <w:rsid w:val="007379D5"/>
    <w:rsid w:val="00737B3F"/>
    <w:rsid w:val="007413AA"/>
    <w:rsid w:val="00742538"/>
    <w:rsid w:val="007431FA"/>
    <w:rsid w:val="00743254"/>
    <w:rsid w:val="00744B96"/>
    <w:rsid w:val="00744C3C"/>
    <w:rsid w:val="007457F6"/>
    <w:rsid w:val="00747066"/>
    <w:rsid w:val="00747383"/>
    <w:rsid w:val="00747789"/>
    <w:rsid w:val="0075070E"/>
    <w:rsid w:val="00753FC4"/>
    <w:rsid w:val="00755E6D"/>
    <w:rsid w:val="007574F6"/>
    <w:rsid w:val="00757A6F"/>
    <w:rsid w:val="00757AB8"/>
    <w:rsid w:val="00760FE6"/>
    <w:rsid w:val="007612B1"/>
    <w:rsid w:val="007637E0"/>
    <w:rsid w:val="00763CC9"/>
    <w:rsid w:val="0076475F"/>
    <w:rsid w:val="00764BBC"/>
    <w:rsid w:val="00764E52"/>
    <w:rsid w:val="00765ED2"/>
    <w:rsid w:val="0076620C"/>
    <w:rsid w:val="007663D1"/>
    <w:rsid w:val="007667E4"/>
    <w:rsid w:val="0076716F"/>
    <w:rsid w:val="00767CE9"/>
    <w:rsid w:val="007702D1"/>
    <w:rsid w:val="00770B85"/>
    <w:rsid w:val="007768EA"/>
    <w:rsid w:val="00777A59"/>
    <w:rsid w:val="00781EBE"/>
    <w:rsid w:val="00783B5E"/>
    <w:rsid w:val="00784016"/>
    <w:rsid w:val="00784097"/>
    <w:rsid w:val="007847A7"/>
    <w:rsid w:val="00784BA0"/>
    <w:rsid w:val="00784C3B"/>
    <w:rsid w:val="00785EB5"/>
    <w:rsid w:val="00786A09"/>
    <w:rsid w:val="007877E7"/>
    <w:rsid w:val="00787E36"/>
    <w:rsid w:val="00790ABC"/>
    <w:rsid w:val="007912D5"/>
    <w:rsid w:val="00791559"/>
    <w:rsid w:val="00791719"/>
    <w:rsid w:val="00791B36"/>
    <w:rsid w:val="00791E0A"/>
    <w:rsid w:val="00792444"/>
    <w:rsid w:val="007941E4"/>
    <w:rsid w:val="0079425C"/>
    <w:rsid w:val="007958F0"/>
    <w:rsid w:val="0079653B"/>
    <w:rsid w:val="007A0F7D"/>
    <w:rsid w:val="007A1CB2"/>
    <w:rsid w:val="007A2A53"/>
    <w:rsid w:val="007A2C9D"/>
    <w:rsid w:val="007A37C9"/>
    <w:rsid w:val="007A4585"/>
    <w:rsid w:val="007A4D1E"/>
    <w:rsid w:val="007B0E71"/>
    <w:rsid w:val="007B0E9C"/>
    <w:rsid w:val="007B4781"/>
    <w:rsid w:val="007B5870"/>
    <w:rsid w:val="007B69FE"/>
    <w:rsid w:val="007B6AD0"/>
    <w:rsid w:val="007B74A8"/>
    <w:rsid w:val="007B760D"/>
    <w:rsid w:val="007C0424"/>
    <w:rsid w:val="007C08C6"/>
    <w:rsid w:val="007C2657"/>
    <w:rsid w:val="007C40DF"/>
    <w:rsid w:val="007C63CA"/>
    <w:rsid w:val="007C647E"/>
    <w:rsid w:val="007C719D"/>
    <w:rsid w:val="007C726E"/>
    <w:rsid w:val="007C726F"/>
    <w:rsid w:val="007D0008"/>
    <w:rsid w:val="007D0860"/>
    <w:rsid w:val="007D1094"/>
    <w:rsid w:val="007D169B"/>
    <w:rsid w:val="007D3651"/>
    <w:rsid w:val="007D3694"/>
    <w:rsid w:val="007D4EDB"/>
    <w:rsid w:val="007D6858"/>
    <w:rsid w:val="007D6907"/>
    <w:rsid w:val="007D79FD"/>
    <w:rsid w:val="007D7C87"/>
    <w:rsid w:val="007D7C8D"/>
    <w:rsid w:val="007E0041"/>
    <w:rsid w:val="007E0FD0"/>
    <w:rsid w:val="007E1C04"/>
    <w:rsid w:val="007E2573"/>
    <w:rsid w:val="007E2898"/>
    <w:rsid w:val="007E2DCD"/>
    <w:rsid w:val="007E309D"/>
    <w:rsid w:val="007E4190"/>
    <w:rsid w:val="007E50F0"/>
    <w:rsid w:val="007E5430"/>
    <w:rsid w:val="007E5A3D"/>
    <w:rsid w:val="007E697D"/>
    <w:rsid w:val="007E6F7E"/>
    <w:rsid w:val="007E73B0"/>
    <w:rsid w:val="007E7A03"/>
    <w:rsid w:val="007F0327"/>
    <w:rsid w:val="007F03D2"/>
    <w:rsid w:val="007F0F07"/>
    <w:rsid w:val="007F18BA"/>
    <w:rsid w:val="007F1BF0"/>
    <w:rsid w:val="007F1E93"/>
    <w:rsid w:val="007F2612"/>
    <w:rsid w:val="007F3EED"/>
    <w:rsid w:val="007F5458"/>
    <w:rsid w:val="007F7019"/>
    <w:rsid w:val="008013FE"/>
    <w:rsid w:val="00802122"/>
    <w:rsid w:val="0080227C"/>
    <w:rsid w:val="00803AA9"/>
    <w:rsid w:val="008042F6"/>
    <w:rsid w:val="008044D2"/>
    <w:rsid w:val="00805248"/>
    <w:rsid w:val="0080537E"/>
    <w:rsid w:val="0080694B"/>
    <w:rsid w:val="00806B35"/>
    <w:rsid w:val="00806E2F"/>
    <w:rsid w:val="008075BF"/>
    <w:rsid w:val="008106D3"/>
    <w:rsid w:val="00810765"/>
    <w:rsid w:val="00810A5C"/>
    <w:rsid w:val="00811411"/>
    <w:rsid w:val="008114FB"/>
    <w:rsid w:val="00811AC7"/>
    <w:rsid w:val="008130AB"/>
    <w:rsid w:val="00814AE8"/>
    <w:rsid w:val="00815E7F"/>
    <w:rsid w:val="00820B6A"/>
    <w:rsid w:val="00820C51"/>
    <w:rsid w:val="00820E1C"/>
    <w:rsid w:val="00821EF4"/>
    <w:rsid w:val="00822821"/>
    <w:rsid w:val="00823C67"/>
    <w:rsid w:val="00823EC5"/>
    <w:rsid w:val="00824867"/>
    <w:rsid w:val="00825B1E"/>
    <w:rsid w:val="00830236"/>
    <w:rsid w:val="008307F6"/>
    <w:rsid w:val="0083141F"/>
    <w:rsid w:val="0083163D"/>
    <w:rsid w:val="00831BC4"/>
    <w:rsid w:val="00832C91"/>
    <w:rsid w:val="0083393F"/>
    <w:rsid w:val="008346A6"/>
    <w:rsid w:val="00834ADB"/>
    <w:rsid w:val="00835F14"/>
    <w:rsid w:val="00836172"/>
    <w:rsid w:val="00836EB1"/>
    <w:rsid w:val="0083755E"/>
    <w:rsid w:val="008401ED"/>
    <w:rsid w:val="008408A8"/>
    <w:rsid w:val="00840CD4"/>
    <w:rsid w:val="00841603"/>
    <w:rsid w:val="00842FF1"/>
    <w:rsid w:val="00843578"/>
    <w:rsid w:val="00843C0E"/>
    <w:rsid w:val="00844255"/>
    <w:rsid w:val="00844BAE"/>
    <w:rsid w:val="00845809"/>
    <w:rsid w:val="00845856"/>
    <w:rsid w:val="008466B4"/>
    <w:rsid w:val="00847C90"/>
    <w:rsid w:val="0085000A"/>
    <w:rsid w:val="0085137C"/>
    <w:rsid w:val="00851B29"/>
    <w:rsid w:val="00852393"/>
    <w:rsid w:val="00852DC9"/>
    <w:rsid w:val="00853125"/>
    <w:rsid w:val="008542FE"/>
    <w:rsid w:val="008603A5"/>
    <w:rsid w:val="00860A8E"/>
    <w:rsid w:val="00860A92"/>
    <w:rsid w:val="0086134D"/>
    <w:rsid w:val="00861FA0"/>
    <w:rsid w:val="00864CA8"/>
    <w:rsid w:val="0086537E"/>
    <w:rsid w:val="00865885"/>
    <w:rsid w:val="00865FAE"/>
    <w:rsid w:val="00870454"/>
    <w:rsid w:val="0087089E"/>
    <w:rsid w:val="00870A4C"/>
    <w:rsid w:val="008719A4"/>
    <w:rsid w:val="0087317D"/>
    <w:rsid w:val="008738EC"/>
    <w:rsid w:val="0087434F"/>
    <w:rsid w:val="0087466F"/>
    <w:rsid w:val="00874A51"/>
    <w:rsid w:val="00875A9F"/>
    <w:rsid w:val="00876CD6"/>
    <w:rsid w:val="00877FB4"/>
    <w:rsid w:val="008803F1"/>
    <w:rsid w:val="0088088E"/>
    <w:rsid w:val="00881392"/>
    <w:rsid w:val="008819C0"/>
    <w:rsid w:val="00881E00"/>
    <w:rsid w:val="008831CE"/>
    <w:rsid w:val="0088394B"/>
    <w:rsid w:val="0088444A"/>
    <w:rsid w:val="00884DC9"/>
    <w:rsid w:val="00886805"/>
    <w:rsid w:val="00887F24"/>
    <w:rsid w:val="00890ABD"/>
    <w:rsid w:val="008910C8"/>
    <w:rsid w:val="00891179"/>
    <w:rsid w:val="00891FF8"/>
    <w:rsid w:val="0089265E"/>
    <w:rsid w:val="008927BC"/>
    <w:rsid w:val="00892CA1"/>
    <w:rsid w:val="00892FE5"/>
    <w:rsid w:val="00894D2E"/>
    <w:rsid w:val="00895DD4"/>
    <w:rsid w:val="00896A4F"/>
    <w:rsid w:val="00897F79"/>
    <w:rsid w:val="008A1EA3"/>
    <w:rsid w:val="008A3408"/>
    <w:rsid w:val="008A5335"/>
    <w:rsid w:val="008B0645"/>
    <w:rsid w:val="008B06E0"/>
    <w:rsid w:val="008B1483"/>
    <w:rsid w:val="008B21BB"/>
    <w:rsid w:val="008B33E1"/>
    <w:rsid w:val="008B3E1F"/>
    <w:rsid w:val="008B4655"/>
    <w:rsid w:val="008B4976"/>
    <w:rsid w:val="008B5822"/>
    <w:rsid w:val="008C08AB"/>
    <w:rsid w:val="008C11CF"/>
    <w:rsid w:val="008C150A"/>
    <w:rsid w:val="008C1E1C"/>
    <w:rsid w:val="008C2738"/>
    <w:rsid w:val="008C320F"/>
    <w:rsid w:val="008C3C30"/>
    <w:rsid w:val="008C57D5"/>
    <w:rsid w:val="008C6608"/>
    <w:rsid w:val="008C79C8"/>
    <w:rsid w:val="008D0605"/>
    <w:rsid w:val="008D08AD"/>
    <w:rsid w:val="008D08DB"/>
    <w:rsid w:val="008D19C6"/>
    <w:rsid w:val="008D22C2"/>
    <w:rsid w:val="008D2811"/>
    <w:rsid w:val="008D2B6F"/>
    <w:rsid w:val="008D3D2E"/>
    <w:rsid w:val="008D3F12"/>
    <w:rsid w:val="008D4290"/>
    <w:rsid w:val="008D504A"/>
    <w:rsid w:val="008D6970"/>
    <w:rsid w:val="008D6BCD"/>
    <w:rsid w:val="008D7575"/>
    <w:rsid w:val="008D7D06"/>
    <w:rsid w:val="008E0157"/>
    <w:rsid w:val="008E2176"/>
    <w:rsid w:val="008E38C0"/>
    <w:rsid w:val="008E4970"/>
    <w:rsid w:val="008E56BE"/>
    <w:rsid w:val="008E6E17"/>
    <w:rsid w:val="008F0005"/>
    <w:rsid w:val="008F0158"/>
    <w:rsid w:val="008F10EB"/>
    <w:rsid w:val="008F175A"/>
    <w:rsid w:val="008F2956"/>
    <w:rsid w:val="008F3162"/>
    <w:rsid w:val="008F4C79"/>
    <w:rsid w:val="008F5CE2"/>
    <w:rsid w:val="008F5EA7"/>
    <w:rsid w:val="009020ED"/>
    <w:rsid w:val="00902B75"/>
    <w:rsid w:val="00902E2C"/>
    <w:rsid w:val="0090307C"/>
    <w:rsid w:val="009034F9"/>
    <w:rsid w:val="00904230"/>
    <w:rsid w:val="00904492"/>
    <w:rsid w:val="00904E28"/>
    <w:rsid w:val="00905066"/>
    <w:rsid w:val="00905FC3"/>
    <w:rsid w:val="00906264"/>
    <w:rsid w:val="00906B4D"/>
    <w:rsid w:val="00907006"/>
    <w:rsid w:val="00907700"/>
    <w:rsid w:val="009077B1"/>
    <w:rsid w:val="009113F1"/>
    <w:rsid w:val="00912BDA"/>
    <w:rsid w:val="00912C93"/>
    <w:rsid w:val="00912F13"/>
    <w:rsid w:val="009136CD"/>
    <w:rsid w:val="00913877"/>
    <w:rsid w:val="00913A7A"/>
    <w:rsid w:val="009140F6"/>
    <w:rsid w:val="00914225"/>
    <w:rsid w:val="00914386"/>
    <w:rsid w:val="009145B6"/>
    <w:rsid w:val="00917403"/>
    <w:rsid w:val="009175C5"/>
    <w:rsid w:val="00920042"/>
    <w:rsid w:val="009204FE"/>
    <w:rsid w:val="009205F3"/>
    <w:rsid w:val="009215F7"/>
    <w:rsid w:val="00921745"/>
    <w:rsid w:val="00921C13"/>
    <w:rsid w:val="00921E71"/>
    <w:rsid w:val="00922408"/>
    <w:rsid w:val="00922609"/>
    <w:rsid w:val="009227CA"/>
    <w:rsid w:val="00922B96"/>
    <w:rsid w:val="00922D2E"/>
    <w:rsid w:val="009241D6"/>
    <w:rsid w:val="00924806"/>
    <w:rsid w:val="009249F2"/>
    <w:rsid w:val="00925FA7"/>
    <w:rsid w:val="009266D4"/>
    <w:rsid w:val="00926AB8"/>
    <w:rsid w:val="00926CF9"/>
    <w:rsid w:val="00926F79"/>
    <w:rsid w:val="00927339"/>
    <w:rsid w:val="009277A5"/>
    <w:rsid w:val="0092783B"/>
    <w:rsid w:val="00931070"/>
    <w:rsid w:val="0093132C"/>
    <w:rsid w:val="00931E4F"/>
    <w:rsid w:val="0093233F"/>
    <w:rsid w:val="0093244E"/>
    <w:rsid w:val="00932DD8"/>
    <w:rsid w:val="009331D3"/>
    <w:rsid w:val="0093339E"/>
    <w:rsid w:val="009359F5"/>
    <w:rsid w:val="00935A53"/>
    <w:rsid w:val="00936DCE"/>
    <w:rsid w:val="009379E6"/>
    <w:rsid w:val="00940E62"/>
    <w:rsid w:val="00940FAC"/>
    <w:rsid w:val="009413F4"/>
    <w:rsid w:val="009414EB"/>
    <w:rsid w:val="009418FE"/>
    <w:rsid w:val="00942E75"/>
    <w:rsid w:val="00943064"/>
    <w:rsid w:val="0094453E"/>
    <w:rsid w:val="009445B5"/>
    <w:rsid w:val="00945180"/>
    <w:rsid w:val="00945957"/>
    <w:rsid w:val="00946591"/>
    <w:rsid w:val="009477ED"/>
    <w:rsid w:val="00947C8C"/>
    <w:rsid w:val="00950242"/>
    <w:rsid w:val="00950404"/>
    <w:rsid w:val="009514DA"/>
    <w:rsid w:val="009527A7"/>
    <w:rsid w:val="0095448E"/>
    <w:rsid w:val="00955115"/>
    <w:rsid w:val="00955B0F"/>
    <w:rsid w:val="00955BAB"/>
    <w:rsid w:val="00956837"/>
    <w:rsid w:val="009577C3"/>
    <w:rsid w:val="00960BF5"/>
    <w:rsid w:val="0096121D"/>
    <w:rsid w:val="00961339"/>
    <w:rsid w:val="0096143F"/>
    <w:rsid w:val="00961759"/>
    <w:rsid w:val="009619D4"/>
    <w:rsid w:val="00962302"/>
    <w:rsid w:val="009637DC"/>
    <w:rsid w:val="009652F0"/>
    <w:rsid w:val="009659A4"/>
    <w:rsid w:val="00970E2A"/>
    <w:rsid w:val="009716D2"/>
    <w:rsid w:val="00971B0E"/>
    <w:rsid w:val="0097207C"/>
    <w:rsid w:val="0097262F"/>
    <w:rsid w:val="00973D24"/>
    <w:rsid w:val="00974B54"/>
    <w:rsid w:val="00974C7E"/>
    <w:rsid w:val="0097508B"/>
    <w:rsid w:val="00975450"/>
    <w:rsid w:val="00976020"/>
    <w:rsid w:val="009763C4"/>
    <w:rsid w:val="009766AC"/>
    <w:rsid w:val="00977726"/>
    <w:rsid w:val="009810DD"/>
    <w:rsid w:val="00981167"/>
    <w:rsid w:val="00981607"/>
    <w:rsid w:val="00982477"/>
    <w:rsid w:val="00982A47"/>
    <w:rsid w:val="00985336"/>
    <w:rsid w:val="0098594D"/>
    <w:rsid w:val="00985A1E"/>
    <w:rsid w:val="00985CFC"/>
    <w:rsid w:val="009866DF"/>
    <w:rsid w:val="00986A39"/>
    <w:rsid w:val="00986B1F"/>
    <w:rsid w:val="009910C0"/>
    <w:rsid w:val="009911CB"/>
    <w:rsid w:val="0099241C"/>
    <w:rsid w:val="00992581"/>
    <w:rsid w:val="00994AE8"/>
    <w:rsid w:val="0099572F"/>
    <w:rsid w:val="00995AC4"/>
    <w:rsid w:val="00997658"/>
    <w:rsid w:val="009A1075"/>
    <w:rsid w:val="009A1C9B"/>
    <w:rsid w:val="009A1F82"/>
    <w:rsid w:val="009A1FBD"/>
    <w:rsid w:val="009A22AF"/>
    <w:rsid w:val="009A2B49"/>
    <w:rsid w:val="009A2B7F"/>
    <w:rsid w:val="009A2D9A"/>
    <w:rsid w:val="009A302A"/>
    <w:rsid w:val="009A3214"/>
    <w:rsid w:val="009A3CF0"/>
    <w:rsid w:val="009A4371"/>
    <w:rsid w:val="009A6D13"/>
    <w:rsid w:val="009AAE17"/>
    <w:rsid w:val="009B0414"/>
    <w:rsid w:val="009B14BA"/>
    <w:rsid w:val="009B2162"/>
    <w:rsid w:val="009B2D58"/>
    <w:rsid w:val="009B3DAD"/>
    <w:rsid w:val="009B4785"/>
    <w:rsid w:val="009B4936"/>
    <w:rsid w:val="009B5727"/>
    <w:rsid w:val="009B6019"/>
    <w:rsid w:val="009B6CC7"/>
    <w:rsid w:val="009B70E3"/>
    <w:rsid w:val="009B7F6E"/>
    <w:rsid w:val="009C14DF"/>
    <w:rsid w:val="009C3BED"/>
    <w:rsid w:val="009C4003"/>
    <w:rsid w:val="009C49F6"/>
    <w:rsid w:val="009C50BF"/>
    <w:rsid w:val="009C552F"/>
    <w:rsid w:val="009C5774"/>
    <w:rsid w:val="009D1940"/>
    <w:rsid w:val="009D1A8F"/>
    <w:rsid w:val="009D2661"/>
    <w:rsid w:val="009D27E2"/>
    <w:rsid w:val="009D3419"/>
    <w:rsid w:val="009D3BAF"/>
    <w:rsid w:val="009D3EBC"/>
    <w:rsid w:val="009D4B07"/>
    <w:rsid w:val="009D4F6A"/>
    <w:rsid w:val="009D537A"/>
    <w:rsid w:val="009D64E4"/>
    <w:rsid w:val="009D6915"/>
    <w:rsid w:val="009D6CCB"/>
    <w:rsid w:val="009E31F6"/>
    <w:rsid w:val="009E549A"/>
    <w:rsid w:val="009E6DF4"/>
    <w:rsid w:val="009F0229"/>
    <w:rsid w:val="009F06DE"/>
    <w:rsid w:val="009F23B7"/>
    <w:rsid w:val="009F3E06"/>
    <w:rsid w:val="009F40BB"/>
    <w:rsid w:val="009F4709"/>
    <w:rsid w:val="009F470D"/>
    <w:rsid w:val="009F4AA4"/>
    <w:rsid w:val="009F4D73"/>
    <w:rsid w:val="009F4DB9"/>
    <w:rsid w:val="009F6169"/>
    <w:rsid w:val="009F7F3C"/>
    <w:rsid w:val="00A002AE"/>
    <w:rsid w:val="00A00429"/>
    <w:rsid w:val="00A005FC"/>
    <w:rsid w:val="00A008FB"/>
    <w:rsid w:val="00A01778"/>
    <w:rsid w:val="00A0195E"/>
    <w:rsid w:val="00A01CA8"/>
    <w:rsid w:val="00A01F1D"/>
    <w:rsid w:val="00A02D35"/>
    <w:rsid w:val="00A03AFD"/>
    <w:rsid w:val="00A04C45"/>
    <w:rsid w:val="00A05C35"/>
    <w:rsid w:val="00A06014"/>
    <w:rsid w:val="00A06E52"/>
    <w:rsid w:val="00A06E8B"/>
    <w:rsid w:val="00A0740F"/>
    <w:rsid w:val="00A07800"/>
    <w:rsid w:val="00A113AC"/>
    <w:rsid w:val="00A11BDE"/>
    <w:rsid w:val="00A11C09"/>
    <w:rsid w:val="00A131C9"/>
    <w:rsid w:val="00A139FF"/>
    <w:rsid w:val="00A14DB9"/>
    <w:rsid w:val="00A14EEF"/>
    <w:rsid w:val="00A1713A"/>
    <w:rsid w:val="00A174EE"/>
    <w:rsid w:val="00A179E8"/>
    <w:rsid w:val="00A200AC"/>
    <w:rsid w:val="00A20B5E"/>
    <w:rsid w:val="00A2199B"/>
    <w:rsid w:val="00A21FBB"/>
    <w:rsid w:val="00A2226F"/>
    <w:rsid w:val="00A22315"/>
    <w:rsid w:val="00A224B6"/>
    <w:rsid w:val="00A23B4E"/>
    <w:rsid w:val="00A245E2"/>
    <w:rsid w:val="00A262AF"/>
    <w:rsid w:val="00A26AB9"/>
    <w:rsid w:val="00A30FCC"/>
    <w:rsid w:val="00A31A6F"/>
    <w:rsid w:val="00A32836"/>
    <w:rsid w:val="00A34139"/>
    <w:rsid w:val="00A341F4"/>
    <w:rsid w:val="00A3442C"/>
    <w:rsid w:val="00A34447"/>
    <w:rsid w:val="00A34CDB"/>
    <w:rsid w:val="00A35027"/>
    <w:rsid w:val="00A36D2C"/>
    <w:rsid w:val="00A37031"/>
    <w:rsid w:val="00A374D5"/>
    <w:rsid w:val="00A374DC"/>
    <w:rsid w:val="00A3757A"/>
    <w:rsid w:val="00A37D31"/>
    <w:rsid w:val="00A40547"/>
    <w:rsid w:val="00A4059F"/>
    <w:rsid w:val="00A408ED"/>
    <w:rsid w:val="00A43FA3"/>
    <w:rsid w:val="00A457AD"/>
    <w:rsid w:val="00A47FD9"/>
    <w:rsid w:val="00A52372"/>
    <w:rsid w:val="00A53233"/>
    <w:rsid w:val="00A534FF"/>
    <w:rsid w:val="00A536A3"/>
    <w:rsid w:val="00A53D91"/>
    <w:rsid w:val="00A55F53"/>
    <w:rsid w:val="00A574AA"/>
    <w:rsid w:val="00A57CEA"/>
    <w:rsid w:val="00A602E9"/>
    <w:rsid w:val="00A61618"/>
    <w:rsid w:val="00A623A3"/>
    <w:rsid w:val="00A62DAF"/>
    <w:rsid w:val="00A63BAF"/>
    <w:rsid w:val="00A64B8D"/>
    <w:rsid w:val="00A6516F"/>
    <w:rsid w:val="00A653C8"/>
    <w:rsid w:val="00A67398"/>
    <w:rsid w:val="00A67587"/>
    <w:rsid w:val="00A67BE8"/>
    <w:rsid w:val="00A70008"/>
    <w:rsid w:val="00A700C2"/>
    <w:rsid w:val="00A70139"/>
    <w:rsid w:val="00A7036D"/>
    <w:rsid w:val="00A703F2"/>
    <w:rsid w:val="00A706BF"/>
    <w:rsid w:val="00A706C7"/>
    <w:rsid w:val="00A70794"/>
    <w:rsid w:val="00A70F09"/>
    <w:rsid w:val="00A715AF"/>
    <w:rsid w:val="00A7423F"/>
    <w:rsid w:val="00A745FD"/>
    <w:rsid w:val="00A75C45"/>
    <w:rsid w:val="00A76042"/>
    <w:rsid w:val="00A76ECB"/>
    <w:rsid w:val="00A8005A"/>
    <w:rsid w:val="00A82DD9"/>
    <w:rsid w:val="00A8322C"/>
    <w:rsid w:val="00A835DA"/>
    <w:rsid w:val="00A8388B"/>
    <w:rsid w:val="00A83BC6"/>
    <w:rsid w:val="00A8433A"/>
    <w:rsid w:val="00A8477D"/>
    <w:rsid w:val="00A84EF9"/>
    <w:rsid w:val="00A8502C"/>
    <w:rsid w:val="00A85164"/>
    <w:rsid w:val="00A8586E"/>
    <w:rsid w:val="00A86517"/>
    <w:rsid w:val="00A873EA"/>
    <w:rsid w:val="00A8773A"/>
    <w:rsid w:val="00A87C1C"/>
    <w:rsid w:val="00A91762"/>
    <w:rsid w:val="00A91C6F"/>
    <w:rsid w:val="00A91EB3"/>
    <w:rsid w:val="00A9325A"/>
    <w:rsid w:val="00A93C87"/>
    <w:rsid w:val="00A940E4"/>
    <w:rsid w:val="00A940FC"/>
    <w:rsid w:val="00A9480C"/>
    <w:rsid w:val="00A957F9"/>
    <w:rsid w:val="00A960F4"/>
    <w:rsid w:val="00A96148"/>
    <w:rsid w:val="00A97442"/>
    <w:rsid w:val="00AA1863"/>
    <w:rsid w:val="00AA1A60"/>
    <w:rsid w:val="00AA260D"/>
    <w:rsid w:val="00AA2F04"/>
    <w:rsid w:val="00AA4DAA"/>
    <w:rsid w:val="00AA60F0"/>
    <w:rsid w:val="00AA629B"/>
    <w:rsid w:val="00AA7E51"/>
    <w:rsid w:val="00AB00C4"/>
    <w:rsid w:val="00AB11E0"/>
    <w:rsid w:val="00AB3002"/>
    <w:rsid w:val="00AB406B"/>
    <w:rsid w:val="00AB4309"/>
    <w:rsid w:val="00AB5C5B"/>
    <w:rsid w:val="00AB6822"/>
    <w:rsid w:val="00AB6B5A"/>
    <w:rsid w:val="00AB706D"/>
    <w:rsid w:val="00AB78C8"/>
    <w:rsid w:val="00AC2053"/>
    <w:rsid w:val="00AC228A"/>
    <w:rsid w:val="00AC40A9"/>
    <w:rsid w:val="00AC4350"/>
    <w:rsid w:val="00AC4F8C"/>
    <w:rsid w:val="00AC6058"/>
    <w:rsid w:val="00AC64CD"/>
    <w:rsid w:val="00AC73B3"/>
    <w:rsid w:val="00AD0C78"/>
    <w:rsid w:val="00AD15AA"/>
    <w:rsid w:val="00AD18C2"/>
    <w:rsid w:val="00AD281E"/>
    <w:rsid w:val="00AD291E"/>
    <w:rsid w:val="00AD2988"/>
    <w:rsid w:val="00AD2C51"/>
    <w:rsid w:val="00AD2CCE"/>
    <w:rsid w:val="00AD31EB"/>
    <w:rsid w:val="00AD3A4A"/>
    <w:rsid w:val="00AD444C"/>
    <w:rsid w:val="00AD4E6B"/>
    <w:rsid w:val="00AD4E89"/>
    <w:rsid w:val="00AD571F"/>
    <w:rsid w:val="00AD7308"/>
    <w:rsid w:val="00AD77DB"/>
    <w:rsid w:val="00AD7EE5"/>
    <w:rsid w:val="00AE09AF"/>
    <w:rsid w:val="00AE1C24"/>
    <w:rsid w:val="00AE1E60"/>
    <w:rsid w:val="00AE2828"/>
    <w:rsid w:val="00AE2E23"/>
    <w:rsid w:val="00AE3C97"/>
    <w:rsid w:val="00AE443D"/>
    <w:rsid w:val="00AE4DA4"/>
    <w:rsid w:val="00AE553F"/>
    <w:rsid w:val="00AE77E7"/>
    <w:rsid w:val="00AE79B9"/>
    <w:rsid w:val="00AF2ABE"/>
    <w:rsid w:val="00AF359E"/>
    <w:rsid w:val="00AF3D9E"/>
    <w:rsid w:val="00AF4B79"/>
    <w:rsid w:val="00AF503F"/>
    <w:rsid w:val="00AF5618"/>
    <w:rsid w:val="00AF6C33"/>
    <w:rsid w:val="00AF71A8"/>
    <w:rsid w:val="00AF763B"/>
    <w:rsid w:val="00AF7B94"/>
    <w:rsid w:val="00AF7DDF"/>
    <w:rsid w:val="00B006D7"/>
    <w:rsid w:val="00B00AC3"/>
    <w:rsid w:val="00B00FB9"/>
    <w:rsid w:val="00B013EB"/>
    <w:rsid w:val="00B01420"/>
    <w:rsid w:val="00B01AF1"/>
    <w:rsid w:val="00B01B56"/>
    <w:rsid w:val="00B03059"/>
    <w:rsid w:val="00B030FE"/>
    <w:rsid w:val="00B039A1"/>
    <w:rsid w:val="00B03B13"/>
    <w:rsid w:val="00B04826"/>
    <w:rsid w:val="00B0618D"/>
    <w:rsid w:val="00B06445"/>
    <w:rsid w:val="00B0679E"/>
    <w:rsid w:val="00B072C8"/>
    <w:rsid w:val="00B07C63"/>
    <w:rsid w:val="00B1001E"/>
    <w:rsid w:val="00B100DD"/>
    <w:rsid w:val="00B110DA"/>
    <w:rsid w:val="00B118B8"/>
    <w:rsid w:val="00B12235"/>
    <w:rsid w:val="00B1249A"/>
    <w:rsid w:val="00B13F7C"/>
    <w:rsid w:val="00B14969"/>
    <w:rsid w:val="00B15290"/>
    <w:rsid w:val="00B15E43"/>
    <w:rsid w:val="00B16266"/>
    <w:rsid w:val="00B16CEA"/>
    <w:rsid w:val="00B2323A"/>
    <w:rsid w:val="00B23ACF"/>
    <w:rsid w:val="00B247F3"/>
    <w:rsid w:val="00B255CE"/>
    <w:rsid w:val="00B25600"/>
    <w:rsid w:val="00B25B62"/>
    <w:rsid w:val="00B265CF"/>
    <w:rsid w:val="00B2688B"/>
    <w:rsid w:val="00B26D01"/>
    <w:rsid w:val="00B2737D"/>
    <w:rsid w:val="00B279AD"/>
    <w:rsid w:val="00B30934"/>
    <w:rsid w:val="00B331FE"/>
    <w:rsid w:val="00B33333"/>
    <w:rsid w:val="00B33CD3"/>
    <w:rsid w:val="00B33D0E"/>
    <w:rsid w:val="00B34B5B"/>
    <w:rsid w:val="00B34F2B"/>
    <w:rsid w:val="00B35325"/>
    <w:rsid w:val="00B357A9"/>
    <w:rsid w:val="00B357BF"/>
    <w:rsid w:val="00B35D8D"/>
    <w:rsid w:val="00B3692F"/>
    <w:rsid w:val="00B36AC7"/>
    <w:rsid w:val="00B37C20"/>
    <w:rsid w:val="00B400F6"/>
    <w:rsid w:val="00B40928"/>
    <w:rsid w:val="00B40E38"/>
    <w:rsid w:val="00B418EB"/>
    <w:rsid w:val="00B43CF7"/>
    <w:rsid w:val="00B445EB"/>
    <w:rsid w:val="00B4460A"/>
    <w:rsid w:val="00B44BF5"/>
    <w:rsid w:val="00B452A1"/>
    <w:rsid w:val="00B453B9"/>
    <w:rsid w:val="00B453D5"/>
    <w:rsid w:val="00B46374"/>
    <w:rsid w:val="00B4639C"/>
    <w:rsid w:val="00B46D72"/>
    <w:rsid w:val="00B46E54"/>
    <w:rsid w:val="00B47E6C"/>
    <w:rsid w:val="00B512B8"/>
    <w:rsid w:val="00B515EF"/>
    <w:rsid w:val="00B51A9D"/>
    <w:rsid w:val="00B5236E"/>
    <w:rsid w:val="00B524D5"/>
    <w:rsid w:val="00B52BF0"/>
    <w:rsid w:val="00B53790"/>
    <w:rsid w:val="00B53C57"/>
    <w:rsid w:val="00B53D63"/>
    <w:rsid w:val="00B5443F"/>
    <w:rsid w:val="00B568EC"/>
    <w:rsid w:val="00B61EE3"/>
    <w:rsid w:val="00B62063"/>
    <w:rsid w:val="00B6246B"/>
    <w:rsid w:val="00B62F93"/>
    <w:rsid w:val="00B63144"/>
    <w:rsid w:val="00B6402C"/>
    <w:rsid w:val="00B64761"/>
    <w:rsid w:val="00B651AE"/>
    <w:rsid w:val="00B65F98"/>
    <w:rsid w:val="00B6680E"/>
    <w:rsid w:val="00B67680"/>
    <w:rsid w:val="00B70CF8"/>
    <w:rsid w:val="00B70E9D"/>
    <w:rsid w:val="00B7103A"/>
    <w:rsid w:val="00B71305"/>
    <w:rsid w:val="00B7139C"/>
    <w:rsid w:val="00B72A04"/>
    <w:rsid w:val="00B748D5"/>
    <w:rsid w:val="00B74DFD"/>
    <w:rsid w:val="00B761C8"/>
    <w:rsid w:val="00B76333"/>
    <w:rsid w:val="00B770BB"/>
    <w:rsid w:val="00B77177"/>
    <w:rsid w:val="00B77902"/>
    <w:rsid w:val="00B80E72"/>
    <w:rsid w:val="00B81D5E"/>
    <w:rsid w:val="00B83741"/>
    <w:rsid w:val="00B84595"/>
    <w:rsid w:val="00B859E9"/>
    <w:rsid w:val="00B8651B"/>
    <w:rsid w:val="00B87B39"/>
    <w:rsid w:val="00B9082C"/>
    <w:rsid w:val="00B91617"/>
    <w:rsid w:val="00B920D0"/>
    <w:rsid w:val="00B94771"/>
    <w:rsid w:val="00B94B0D"/>
    <w:rsid w:val="00B9588D"/>
    <w:rsid w:val="00B963B6"/>
    <w:rsid w:val="00B96B18"/>
    <w:rsid w:val="00B96C18"/>
    <w:rsid w:val="00B973F5"/>
    <w:rsid w:val="00B97A76"/>
    <w:rsid w:val="00BA0520"/>
    <w:rsid w:val="00BA2731"/>
    <w:rsid w:val="00BA2D75"/>
    <w:rsid w:val="00BA3AEF"/>
    <w:rsid w:val="00BA447A"/>
    <w:rsid w:val="00BA4907"/>
    <w:rsid w:val="00BA4ECB"/>
    <w:rsid w:val="00BA630C"/>
    <w:rsid w:val="00BA6F15"/>
    <w:rsid w:val="00BA7B9F"/>
    <w:rsid w:val="00BA7CC2"/>
    <w:rsid w:val="00BB05D8"/>
    <w:rsid w:val="00BB0FFE"/>
    <w:rsid w:val="00BB16C4"/>
    <w:rsid w:val="00BB229E"/>
    <w:rsid w:val="00BB2C5E"/>
    <w:rsid w:val="00BB3093"/>
    <w:rsid w:val="00BB3AEE"/>
    <w:rsid w:val="00BB3FD5"/>
    <w:rsid w:val="00BB469E"/>
    <w:rsid w:val="00BB4898"/>
    <w:rsid w:val="00BB51A3"/>
    <w:rsid w:val="00BB7785"/>
    <w:rsid w:val="00BB7A4C"/>
    <w:rsid w:val="00BB7CEB"/>
    <w:rsid w:val="00BC0C99"/>
    <w:rsid w:val="00BC4613"/>
    <w:rsid w:val="00BC5C96"/>
    <w:rsid w:val="00BC5D99"/>
    <w:rsid w:val="00BC5EC9"/>
    <w:rsid w:val="00BC6876"/>
    <w:rsid w:val="00BC6A3B"/>
    <w:rsid w:val="00BD024F"/>
    <w:rsid w:val="00BD0F99"/>
    <w:rsid w:val="00BD1013"/>
    <w:rsid w:val="00BD1A01"/>
    <w:rsid w:val="00BD2BCD"/>
    <w:rsid w:val="00BD4668"/>
    <w:rsid w:val="00BD6101"/>
    <w:rsid w:val="00BD6348"/>
    <w:rsid w:val="00BD7355"/>
    <w:rsid w:val="00BD775B"/>
    <w:rsid w:val="00BD7D0A"/>
    <w:rsid w:val="00BE2F7D"/>
    <w:rsid w:val="00BE3585"/>
    <w:rsid w:val="00BE4117"/>
    <w:rsid w:val="00BE44ED"/>
    <w:rsid w:val="00BE456B"/>
    <w:rsid w:val="00BE5719"/>
    <w:rsid w:val="00BE6E8D"/>
    <w:rsid w:val="00BE7886"/>
    <w:rsid w:val="00BF068E"/>
    <w:rsid w:val="00BF0D29"/>
    <w:rsid w:val="00BF0E04"/>
    <w:rsid w:val="00BF0FD8"/>
    <w:rsid w:val="00BF2B88"/>
    <w:rsid w:val="00BF3ABC"/>
    <w:rsid w:val="00BF544D"/>
    <w:rsid w:val="00BF5A9B"/>
    <w:rsid w:val="00BF5E85"/>
    <w:rsid w:val="00BF7DDC"/>
    <w:rsid w:val="00C01395"/>
    <w:rsid w:val="00C0186C"/>
    <w:rsid w:val="00C01A4B"/>
    <w:rsid w:val="00C02075"/>
    <w:rsid w:val="00C02665"/>
    <w:rsid w:val="00C03A5A"/>
    <w:rsid w:val="00C03AE2"/>
    <w:rsid w:val="00C04293"/>
    <w:rsid w:val="00C04ED2"/>
    <w:rsid w:val="00C05981"/>
    <w:rsid w:val="00C06048"/>
    <w:rsid w:val="00C062A4"/>
    <w:rsid w:val="00C06646"/>
    <w:rsid w:val="00C0677A"/>
    <w:rsid w:val="00C06D09"/>
    <w:rsid w:val="00C070BA"/>
    <w:rsid w:val="00C07ACC"/>
    <w:rsid w:val="00C106FF"/>
    <w:rsid w:val="00C1210B"/>
    <w:rsid w:val="00C124DC"/>
    <w:rsid w:val="00C13FFA"/>
    <w:rsid w:val="00C14F91"/>
    <w:rsid w:val="00C15744"/>
    <w:rsid w:val="00C160E7"/>
    <w:rsid w:val="00C16706"/>
    <w:rsid w:val="00C175DB"/>
    <w:rsid w:val="00C21519"/>
    <w:rsid w:val="00C217A0"/>
    <w:rsid w:val="00C21A7F"/>
    <w:rsid w:val="00C22B80"/>
    <w:rsid w:val="00C22BF7"/>
    <w:rsid w:val="00C23678"/>
    <w:rsid w:val="00C23905"/>
    <w:rsid w:val="00C2568D"/>
    <w:rsid w:val="00C2612C"/>
    <w:rsid w:val="00C26BC9"/>
    <w:rsid w:val="00C27A5D"/>
    <w:rsid w:val="00C31599"/>
    <w:rsid w:val="00C3255E"/>
    <w:rsid w:val="00C32DD9"/>
    <w:rsid w:val="00C3329F"/>
    <w:rsid w:val="00C33A8B"/>
    <w:rsid w:val="00C33F1E"/>
    <w:rsid w:val="00C355F2"/>
    <w:rsid w:val="00C36C28"/>
    <w:rsid w:val="00C37AB3"/>
    <w:rsid w:val="00C37CF4"/>
    <w:rsid w:val="00C409F8"/>
    <w:rsid w:val="00C40C51"/>
    <w:rsid w:val="00C418AE"/>
    <w:rsid w:val="00C4217C"/>
    <w:rsid w:val="00C4248D"/>
    <w:rsid w:val="00C42979"/>
    <w:rsid w:val="00C430E2"/>
    <w:rsid w:val="00C43A67"/>
    <w:rsid w:val="00C43B6D"/>
    <w:rsid w:val="00C43CDE"/>
    <w:rsid w:val="00C441E9"/>
    <w:rsid w:val="00C44248"/>
    <w:rsid w:val="00C44F17"/>
    <w:rsid w:val="00C453ED"/>
    <w:rsid w:val="00C45FA9"/>
    <w:rsid w:val="00C4665A"/>
    <w:rsid w:val="00C46C6B"/>
    <w:rsid w:val="00C47220"/>
    <w:rsid w:val="00C4798D"/>
    <w:rsid w:val="00C47F91"/>
    <w:rsid w:val="00C5061F"/>
    <w:rsid w:val="00C50FA5"/>
    <w:rsid w:val="00C51BF2"/>
    <w:rsid w:val="00C52A07"/>
    <w:rsid w:val="00C53C96"/>
    <w:rsid w:val="00C551B3"/>
    <w:rsid w:val="00C556F3"/>
    <w:rsid w:val="00C57156"/>
    <w:rsid w:val="00C6143C"/>
    <w:rsid w:val="00C61A80"/>
    <w:rsid w:val="00C64517"/>
    <w:rsid w:val="00C648B8"/>
    <w:rsid w:val="00C6537C"/>
    <w:rsid w:val="00C66F23"/>
    <w:rsid w:val="00C66F8E"/>
    <w:rsid w:val="00C67517"/>
    <w:rsid w:val="00C678F6"/>
    <w:rsid w:val="00C70E91"/>
    <w:rsid w:val="00C711D4"/>
    <w:rsid w:val="00C71689"/>
    <w:rsid w:val="00C7200F"/>
    <w:rsid w:val="00C72207"/>
    <w:rsid w:val="00C725B7"/>
    <w:rsid w:val="00C745AD"/>
    <w:rsid w:val="00C7465B"/>
    <w:rsid w:val="00C74A68"/>
    <w:rsid w:val="00C74C22"/>
    <w:rsid w:val="00C74FD2"/>
    <w:rsid w:val="00C750D0"/>
    <w:rsid w:val="00C75FB5"/>
    <w:rsid w:val="00C7693C"/>
    <w:rsid w:val="00C7724D"/>
    <w:rsid w:val="00C80E08"/>
    <w:rsid w:val="00C81735"/>
    <w:rsid w:val="00C81B4A"/>
    <w:rsid w:val="00C8251D"/>
    <w:rsid w:val="00C83A67"/>
    <w:rsid w:val="00C83C8D"/>
    <w:rsid w:val="00C85020"/>
    <w:rsid w:val="00C85216"/>
    <w:rsid w:val="00C85F26"/>
    <w:rsid w:val="00C875E5"/>
    <w:rsid w:val="00C905F9"/>
    <w:rsid w:val="00C90B12"/>
    <w:rsid w:val="00C90E1B"/>
    <w:rsid w:val="00C91220"/>
    <w:rsid w:val="00C91238"/>
    <w:rsid w:val="00C92248"/>
    <w:rsid w:val="00C924B3"/>
    <w:rsid w:val="00C945A3"/>
    <w:rsid w:val="00C94758"/>
    <w:rsid w:val="00C94FBD"/>
    <w:rsid w:val="00C95DEC"/>
    <w:rsid w:val="00C96567"/>
    <w:rsid w:val="00C9758F"/>
    <w:rsid w:val="00CA0D7C"/>
    <w:rsid w:val="00CA1990"/>
    <w:rsid w:val="00CA37A4"/>
    <w:rsid w:val="00CA3819"/>
    <w:rsid w:val="00CA5AB3"/>
    <w:rsid w:val="00CA653E"/>
    <w:rsid w:val="00CA7DCC"/>
    <w:rsid w:val="00CB3CFA"/>
    <w:rsid w:val="00CB48F2"/>
    <w:rsid w:val="00CB5497"/>
    <w:rsid w:val="00CB5EC8"/>
    <w:rsid w:val="00CB6042"/>
    <w:rsid w:val="00CB6995"/>
    <w:rsid w:val="00CB6F29"/>
    <w:rsid w:val="00CB7B42"/>
    <w:rsid w:val="00CB7DB7"/>
    <w:rsid w:val="00CC0379"/>
    <w:rsid w:val="00CC071D"/>
    <w:rsid w:val="00CC0A8A"/>
    <w:rsid w:val="00CC1CAD"/>
    <w:rsid w:val="00CC270C"/>
    <w:rsid w:val="00CC2D1D"/>
    <w:rsid w:val="00CC4890"/>
    <w:rsid w:val="00CC4ADA"/>
    <w:rsid w:val="00CC4CC4"/>
    <w:rsid w:val="00CC4F32"/>
    <w:rsid w:val="00CC678F"/>
    <w:rsid w:val="00CC6BA5"/>
    <w:rsid w:val="00CC73AF"/>
    <w:rsid w:val="00CD00DC"/>
    <w:rsid w:val="00CD021B"/>
    <w:rsid w:val="00CD0428"/>
    <w:rsid w:val="00CD0723"/>
    <w:rsid w:val="00CD1724"/>
    <w:rsid w:val="00CD1D00"/>
    <w:rsid w:val="00CD2D01"/>
    <w:rsid w:val="00CD2FC9"/>
    <w:rsid w:val="00CD3F32"/>
    <w:rsid w:val="00CD4819"/>
    <w:rsid w:val="00CD4C9F"/>
    <w:rsid w:val="00CD5479"/>
    <w:rsid w:val="00CD7472"/>
    <w:rsid w:val="00CD7A6E"/>
    <w:rsid w:val="00CE06EC"/>
    <w:rsid w:val="00CE0AA2"/>
    <w:rsid w:val="00CE0B83"/>
    <w:rsid w:val="00CE150A"/>
    <w:rsid w:val="00CE2570"/>
    <w:rsid w:val="00CE3651"/>
    <w:rsid w:val="00CE36B4"/>
    <w:rsid w:val="00CE4279"/>
    <w:rsid w:val="00CE7431"/>
    <w:rsid w:val="00CE7502"/>
    <w:rsid w:val="00CF0A65"/>
    <w:rsid w:val="00CF0AD0"/>
    <w:rsid w:val="00CF2253"/>
    <w:rsid w:val="00CF2604"/>
    <w:rsid w:val="00CF3731"/>
    <w:rsid w:val="00CF42BD"/>
    <w:rsid w:val="00CF4477"/>
    <w:rsid w:val="00CF4699"/>
    <w:rsid w:val="00CF4B27"/>
    <w:rsid w:val="00CF52D6"/>
    <w:rsid w:val="00CF52D9"/>
    <w:rsid w:val="00CF60DE"/>
    <w:rsid w:val="00CF62C5"/>
    <w:rsid w:val="00CF6DCC"/>
    <w:rsid w:val="00CF6E34"/>
    <w:rsid w:val="00CF7AF5"/>
    <w:rsid w:val="00D0206C"/>
    <w:rsid w:val="00D0246F"/>
    <w:rsid w:val="00D02E98"/>
    <w:rsid w:val="00D03286"/>
    <w:rsid w:val="00D033A9"/>
    <w:rsid w:val="00D05682"/>
    <w:rsid w:val="00D05E95"/>
    <w:rsid w:val="00D06974"/>
    <w:rsid w:val="00D07CE8"/>
    <w:rsid w:val="00D10922"/>
    <w:rsid w:val="00D116D6"/>
    <w:rsid w:val="00D117A1"/>
    <w:rsid w:val="00D126D8"/>
    <w:rsid w:val="00D12BC9"/>
    <w:rsid w:val="00D14BB2"/>
    <w:rsid w:val="00D16D55"/>
    <w:rsid w:val="00D2404D"/>
    <w:rsid w:val="00D248C9"/>
    <w:rsid w:val="00D2511F"/>
    <w:rsid w:val="00D2648B"/>
    <w:rsid w:val="00D264D3"/>
    <w:rsid w:val="00D27422"/>
    <w:rsid w:val="00D31780"/>
    <w:rsid w:val="00D32F69"/>
    <w:rsid w:val="00D33572"/>
    <w:rsid w:val="00D33B9A"/>
    <w:rsid w:val="00D33F15"/>
    <w:rsid w:val="00D340F8"/>
    <w:rsid w:val="00D34C83"/>
    <w:rsid w:val="00D3636E"/>
    <w:rsid w:val="00D36441"/>
    <w:rsid w:val="00D40AAB"/>
    <w:rsid w:val="00D423E9"/>
    <w:rsid w:val="00D4258A"/>
    <w:rsid w:val="00D426DC"/>
    <w:rsid w:val="00D427D0"/>
    <w:rsid w:val="00D46414"/>
    <w:rsid w:val="00D468FD"/>
    <w:rsid w:val="00D46ECF"/>
    <w:rsid w:val="00D46F90"/>
    <w:rsid w:val="00D52744"/>
    <w:rsid w:val="00D53CE0"/>
    <w:rsid w:val="00D54148"/>
    <w:rsid w:val="00D54E04"/>
    <w:rsid w:val="00D54E7E"/>
    <w:rsid w:val="00D54EA5"/>
    <w:rsid w:val="00D5530F"/>
    <w:rsid w:val="00D56000"/>
    <w:rsid w:val="00D56D4C"/>
    <w:rsid w:val="00D61240"/>
    <w:rsid w:val="00D61277"/>
    <w:rsid w:val="00D612D2"/>
    <w:rsid w:val="00D613AA"/>
    <w:rsid w:val="00D613D9"/>
    <w:rsid w:val="00D617D3"/>
    <w:rsid w:val="00D61AFB"/>
    <w:rsid w:val="00D62D0C"/>
    <w:rsid w:val="00D62D8F"/>
    <w:rsid w:val="00D63A3B"/>
    <w:rsid w:val="00D64055"/>
    <w:rsid w:val="00D64231"/>
    <w:rsid w:val="00D646BE"/>
    <w:rsid w:val="00D64943"/>
    <w:rsid w:val="00D64CC1"/>
    <w:rsid w:val="00D65135"/>
    <w:rsid w:val="00D65FB7"/>
    <w:rsid w:val="00D661ED"/>
    <w:rsid w:val="00D678BA"/>
    <w:rsid w:val="00D7072A"/>
    <w:rsid w:val="00D7158A"/>
    <w:rsid w:val="00D728E2"/>
    <w:rsid w:val="00D73006"/>
    <w:rsid w:val="00D73204"/>
    <w:rsid w:val="00D73F91"/>
    <w:rsid w:val="00D7454F"/>
    <w:rsid w:val="00D7744A"/>
    <w:rsid w:val="00D77FD6"/>
    <w:rsid w:val="00D80113"/>
    <w:rsid w:val="00D80686"/>
    <w:rsid w:val="00D80876"/>
    <w:rsid w:val="00D80927"/>
    <w:rsid w:val="00D81822"/>
    <w:rsid w:val="00D823E9"/>
    <w:rsid w:val="00D82F94"/>
    <w:rsid w:val="00D8313A"/>
    <w:rsid w:val="00D83957"/>
    <w:rsid w:val="00D83A7A"/>
    <w:rsid w:val="00D84CBB"/>
    <w:rsid w:val="00D86A49"/>
    <w:rsid w:val="00D87411"/>
    <w:rsid w:val="00D9127A"/>
    <w:rsid w:val="00D92F56"/>
    <w:rsid w:val="00D93047"/>
    <w:rsid w:val="00D93832"/>
    <w:rsid w:val="00D94FA9"/>
    <w:rsid w:val="00D95356"/>
    <w:rsid w:val="00DA027E"/>
    <w:rsid w:val="00DA0B5F"/>
    <w:rsid w:val="00DA1A6D"/>
    <w:rsid w:val="00DA1D9E"/>
    <w:rsid w:val="00DA2469"/>
    <w:rsid w:val="00DA26EE"/>
    <w:rsid w:val="00DA3F39"/>
    <w:rsid w:val="00DA4500"/>
    <w:rsid w:val="00DA4552"/>
    <w:rsid w:val="00DA6467"/>
    <w:rsid w:val="00DA70A9"/>
    <w:rsid w:val="00DB123C"/>
    <w:rsid w:val="00DB298B"/>
    <w:rsid w:val="00DB2BF3"/>
    <w:rsid w:val="00DB3A5A"/>
    <w:rsid w:val="00DB3AAB"/>
    <w:rsid w:val="00DB41FB"/>
    <w:rsid w:val="00DB5B49"/>
    <w:rsid w:val="00DB5E5F"/>
    <w:rsid w:val="00DB6B9D"/>
    <w:rsid w:val="00DB78EA"/>
    <w:rsid w:val="00DC27E2"/>
    <w:rsid w:val="00DC399F"/>
    <w:rsid w:val="00DC3EDD"/>
    <w:rsid w:val="00DC4C7A"/>
    <w:rsid w:val="00DC56BC"/>
    <w:rsid w:val="00DC5B00"/>
    <w:rsid w:val="00DC5D9F"/>
    <w:rsid w:val="00DC606E"/>
    <w:rsid w:val="00DC7745"/>
    <w:rsid w:val="00DC7A3D"/>
    <w:rsid w:val="00DD0C97"/>
    <w:rsid w:val="00DD267C"/>
    <w:rsid w:val="00DD3EFD"/>
    <w:rsid w:val="00DD52AC"/>
    <w:rsid w:val="00DD600E"/>
    <w:rsid w:val="00DD65FB"/>
    <w:rsid w:val="00DD6847"/>
    <w:rsid w:val="00DD7E90"/>
    <w:rsid w:val="00DE00E9"/>
    <w:rsid w:val="00DE03CB"/>
    <w:rsid w:val="00DE1072"/>
    <w:rsid w:val="00DE2053"/>
    <w:rsid w:val="00DE20BD"/>
    <w:rsid w:val="00DE2EE6"/>
    <w:rsid w:val="00DE4439"/>
    <w:rsid w:val="00DE47EA"/>
    <w:rsid w:val="00DE5E68"/>
    <w:rsid w:val="00DE62E9"/>
    <w:rsid w:val="00DE67FE"/>
    <w:rsid w:val="00DE6807"/>
    <w:rsid w:val="00DF009D"/>
    <w:rsid w:val="00DF0B58"/>
    <w:rsid w:val="00DF20B2"/>
    <w:rsid w:val="00DF247A"/>
    <w:rsid w:val="00DF5699"/>
    <w:rsid w:val="00DF5BAF"/>
    <w:rsid w:val="00DF6110"/>
    <w:rsid w:val="00DF6A86"/>
    <w:rsid w:val="00DF6AA3"/>
    <w:rsid w:val="00DF7EDE"/>
    <w:rsid w:val="00E019DE"/>
    <w:rsid w:val="00E02AA7"/>
    <w:rsid w:val="00E03B34"/>
    <w:rsid w:val="00E03F80"/>
    <w:rsid w:val="00E042AB"/>
    <w:rsid w:val="00E0446F"/>
    <w:rsid w:val="00E048F6"/>
    <w:rsid w:val="00E049AD"/>
    <w:rsid w:val="00E049D7"/>
    <w:rsid w:val="00E06329"/>
    <w:rsid w:val="00E06A74"/>
    <w:rsid w:val="00E070F6"/>
    <w:rsid w:val="00E071B1"/>
    <w:rsid w:val="00E077A6"/>
    <w:rsid w:val="00E0785D"/>
    <w:rsid w:val="00E07EB8"/>
    <w:rsid w:val="00E118D2"/>
    <w:rsid w:val="00E127F8"/>
    <w:rsid w:val="00E13975"/>
    <w:rsid w:val="00E13A43"/>
    <w:rsid w:val="00E14BB3"/>
    <w:rsid w:val="00E14E8F"/>
    <w:rsid w:val="00E15845"/>
    <w:rsid w:val="00E16A68"/>
    <w:rsid w:val="00E17692"/>
    <w:rsid w:val="00E200D9"/>
    <w:rsid w:val="00E218DF"/>
    <w:rsid w:val="00E22F48"/>
    <w:rsid w:val="00E2316F"/>
    <w:rsid w:val="00E23643"/>
    <w:rsid w:val="00E23B07"/>
    <w:rsid w:val="00E23CBD"/>
    <w:rsid w:val="00E25E31"/>
    <w:rsid w:val="00E26937"/>
    <w:rsid w:val="00E308C3"/>
    <w:rsid w:val="00E31F26"/>
    <w:rsid w:val="00E338A9"/>
    <w:rsid w:val="00E33FE0"/>
    <w:rsid w:val="00E348C3"/>
    <w:rsid w:val="00E352DE"/>
    <w:rsid w:val="00E35B5E"/>
    <w:rsid w:val="00E35DA8"/>
    <w:rsid w:val="00E35FCF"/>
    <w:rsid w:val="00E3728D"/>
    <w:rsid w:val="00E37453"/>
    <w:rsid w:val="00E411A3"/>
    <w:rsid w:val="00E41F36"/>
    <w:rsid w:val="00E424D5"/>
    <w:rsid w:val="00E42772"/>
    <w:rsid w:val="00E42E90"/>
    <w:rsid w:val="00E4320D"/>
    <w:rsid w:val="00E4321A"/>
    <w:rsid w:val="00E4397F"/>
    <w:rsid w:val="00E43A16"/>
    <w:rsid w:val="00E43CCC"/>
    <w:rsid w:val="00E4431F"/>
    <w:rsid w:val="00E44736"/>
    <w:rsid w:val="00E44CC3"/>
    <w:rsid w:val="00E44D77"/>
    <w:rsid w:val="00E45032"/>
    <w:rsid w:val="00E45473"/>
    <w:rsid w:val="00E46D3C"/>
    <w:rsid w:val="00E46ECC"/>
    <w:rsid w:val="00E46F20"/>
    <w:rsid w:val="00E5119A"/>
    <w:rsid w:val="00E5136C"/>
    <w:rsid w:val="00E51ED1"/>
    <w:rsid w:val="00E52175"/>
    <w:rsid w:val="00E52A4E"/>
    <w:rsid w:val="00E5340A"/>
    <w:rsid w:val="00E53B4E"/>
    <w:rsid w:val="00E5557D"/>
    <w:rsid w:val="00E55CE6"/>
    <w:rsid w:val="00E56433"/>
    <w:rsid w:val="00E5643F"/>
    <w:rsid w:val="00E57E37"/>
    <w:rsid w:val="00E60435"/>
    <w:rsid w:val="00E60875"/>
    <w:rsid w:val="00E61102"/>
    <w:rsid w:val="00E61B81"/>
    <w:rsid w:val="00E64832"/>
    <w:rsid w:val="00E64EDF"/>
    <w:rsid w:val="00E66197"/>
    <w:rsid w:val="00E70366"/>
    <w:rsid w:val="00E7125A"/>
    <w:rsid w:val="00E71B62"/>
    <w:rsid w:val="00E72CA4"/>
    <w:rsid w:val="00E72CC3"/>
    <w:rsid w:val="00E733B7"/>
    <w:rsid w:val="00E73BCE"/>
    <w:rsid w:val="00E73E20"/>
    <w:rsid w:val="00E76468"/>
    <w:rsid w:val="00E76ADB"/>
    <w:rsid w:val="00E805AF"/>
    <w:rsid w:val="00E806F9"/>
    <w:rsid w:val="00E80EE8"/>
    <w:rsid w:val="00E80FA2"/>
    <w:rsid w:val="00E810AD"/>
    <w:rsid w:val="00E8318B"/>
    <w:rsid w:val="00E83814"/>
    <w:rsid w:val="00E83C98"/>
    <w:rsid w:val="00E843C4"/>
    <w:rsid w:val="00E856A2"/>
    <w:rsid w:val="00E85783"/>
    <w:rsid w:val="00E8600F"/>
    <w:rsid w:val="00E90255"/>
    <w:rsid w:val="00E90A93"/>
    <w:rsid w:val="00E90E56"/>
    <w:rsid w:val="00E93FBF"/>
    <w:rsid w:val="00E94630"/>
    <w:rsid w:val="00E949BD"/>
    <w:rsid w:val="00E94DA1"/>
    <w:rsid w:val="00E951DF"/>
    <w:rsid w:val="00E953AD"/>
    <w:rsid w:val="00E954B6"/>
    <w:rsid w:val="00E956B1"/>
    <w:rsid w:val="00E95791"/>
    <w:rsid w:val="00E97DE2"/>
    <w:rsid w:val="00EA13E0"/>
    <w:rsid w:val="00EA16BA"/>
    <w:rsid w:val="00EA2D82"/>
    <w:rsid w:val="00EA2EEC"/>
    <w:rsid w:val="00EA3B30"/>
    <w:rsid w:val="00EA3CAA"/>
    <w:rsid w:val="00EA3D64"/>
    <w:rsid w:val="00EA3FC9"/>
    <w:rsid w:val="00EA4AB5"/>
    <w:rsid w:val="00EA6369"/>
    <w:rsid w:val="00EA7CDB"/>
    <w:rsid w:val="00EB16C9"/>
    <w:rsid w:val="00EB1717"/>
    <w:rsid w:val="00EB1B83"/>
    <w:rsid w:val="00EB28DE"/>
    <w:rsid w:val="00EB3452"/>
    <w:rsid w:val="00EB585E"/>
    <w:rsid w:val="00EB69F3"/>
    <w:rsid w:val="00EB74BA"/>
    <w:rsid w:val="00EC0A96"/>
    <w:rsid w:val="00EC0C38"/>
    <w:rsid w:val="00EC1014"/>
    <w:rsid w:val="00EC11F1"/>
    <w:rsid w:val="00EC236A"/>
    <w:rsid w:val="00EC2987"/>
    <w:rsid w:val="00EC30DA"/>
    <w:rsid w:val="00EC4DD2"/>
    <w:rsid w:val="00EC50CA"/>
    <w:rsid w:val="00EC609F"/>
    <w:rsid w:val="00EC6117"/>
    <w:rsid w:val="00EC6AC9"/>
    <w:rsid w:val="00EC6CF4"/>
    <w:rsid w:val="00EC710B"/>
    <w:rsid w:val="00EC7777"/>
    <w:rsid w:val="00ED018F"/>
    <w:rsid w:val="00ED144E"/>
    <w:rsid w:val="00ED264E"/>
    <w:rsid w:val="00ED392A"/>
    <w:rsid w:val="00ED455A"/>
    <w:rsid w:val="00ED4CAC"/>
    <w:rsid w:val="00ED5117"/>
    <w:rsid w:val="00ED5C47"/>
    <w:rsid w:val="00ED7FCD"/>
    <w:rsid w:val="00EE0008"/>
    <w:rsid w:val="00EE166D"/>
    <w:rsid w:val="00EE188F"/>
    <w:rsid w:val="00EE191B"/>
    <w:rsid w:val="00EE1C76"/>
    <w:rsid w:val="00EE2133"/>
    <w:rsid w:val="00EE2505"/>
    <w:rsid w:val="00EE25A3"/>
    <w:rsid w:val="00EE2791"/>
    <w:rsid w:val="00EE420D"/>
    <w:rsid w:val="00EE43B3"/>
    <w:rsid w:val="00EE43DD"/>
    <w:rsid w:val="00EE5EBE"/>
    <w:rsid w:val="00EE6481"/>
    <w:rsid w:val="00EE6781"/>
    <w:rsid w:val="00EE68FF"/>
    <w:rsid w:val="00EE6C48"/>
    <w:rsid w:val="00EE6D40"/>
    <w:rsid w:val="00EE6DB3"/>
    <w:rsid w:val="00EE70E0"/>
    <w:rsid w:val="00EE7556"/>
    <w:rsid w:val="00EE7ADC"/>
    <w:rsid w:val="00EF0381"/>
    <w:rsid w:val="00EF0BB6"/>
    <w:rsid w:val="00EF1102"/>
    <w:rsid w:val="00EF1ACF"/>
    <w:rsid w:val="00EF2663"/>
    <w:rsid w:val="00EF29A1"/>
    <w:rsid w:val="00EF2AC1"/>
    <w:rsid w:val="00EF2E53"/>
    <w:rsid w:val="00EF42D0"/>
    <w:rsid w:val="00EF476E"/>
    <w:rsid w:val="00EF5089"/>
    <w:rsid w:val="00EF5AAF"/>
    <w:rsid w:val="00EF62BD"/>
    <w:rsid w:val="00EF687A"/>
    <w:rsid w:val="00EF72A8"/>
    <w:rsid w:val="00F001EE"/>
    <w:rsid w:val="00F00853"/>
    <w:rsid w:val="00F00C47"/>
    <w:rsid w:val="00F010DF"/>
    <w:rsid w:val="00F02355"/>
    <w:rsid w:val="00F02B65"/>
    <w:rsid w:val="00F02D20"/>
    <w:rsid w:val="00F02EDF"/>
    <w:rsid w:val="00F03153"/>
    <w:rsid w:val="00F049F3"/>
    <w:rsid w:val="00F050A6"/>
    <w:rsid w:val="00F053BA"/>
    <w:rsid w:val="00F05694"/>
    <w:rsid w:val="00F071A3"/>
    <w:rsid w:val="00F11F34"/>
    <w:rsid w:val="00F12451"/>
    <w:rsid w:val="00F13BEF"/>
    <w:rsid w:val="00F13DA3"/>
    <w:rsid w:val="00F14032"/>
    <w:rsid w:val="00F14500"/>
    <w:rsid w:val="00F17149"/>
    <w:rsid w:val="00F17283"/>
    <w:rsid w:val="00F173FD"/>
    <w:rsid w:val="00F17694"/>
    <w:rsid w:val="00F211BD"/>
    <w:rsid w:val="00F212F4"/>
    <w:rsid w:val="00F22C5B"/>
    <w:rsid w:val="00F23527"/>
    <w:rsid w:val="00F23712"/>
    <w:rsid w:val="00F2406C"/>
    <w:rsid w:val="00F25743"/>
    <w:rsid w:val="00F26956"/>
    <w:rsid w:val="00F27ACF"/>
    <w:rsid w:val="00F308F3"/>
    <w:rsid w:val="00F30A5D"/>
    <w:rsid w:val="00F32C5D"/>
    <w:rsid w:val="00F32E96"/>
    <w:rsid w:val="00F33604"/>
    <w:rsid w:val="00F33B3F"/>
    <w:rsid w:val="00F34076"/>
    <w:rsid w:val="00F34507"/>
    <w:rsid w:val="00F35C66"/>
    <w:rsid w:val="00F36469"/>
    <w:rsid w:val="00F364BC"/>
    <w:rsid w:val="00F40BA5"/>
    <w:rsid w:val="00F4165C"/>
    <w:rsid w:val="00F4323F"/>
    <w:rsid w:val="00F438FA"/>
    <w:rsid w:val="00F44376"/>
    <w:rsid w:val="00F462BE"/>
    <w:rsid w:val="00F463A2"/>
    <w:rsid w:val="00F468DA"/>
    <w:rsid w:val="00F4690C"/>
    <w:rsid w:val="00F47B77"/>
    <w:rsid w:val="00F47E86"/>
    <w:rsid w:val="00F51038"/>
    <w:rsid w:val="00F51048"/>
    <w:rsid w:val="00F53451"/>
    <w:rsid w:val="00F54451"/>
    <w:rsid w:val="00F54821"/>
    <w:rsid w:val="00F54C96"/>
    <w:rsid w:val="00F553A2"/>
    <w:rsid w:val="00F56CCD"/>
    <w:rsid w:val="00F57264"/>
    <w:rsid w:val="00F607BA"/>
    <w:rsid w:val="00F60C5C"/>
    <w:rsid w:val="00F60E8F"/>
    <w:rsid w:val="00F60FBA"/>
    <w:rsid w:val="00F6334D"/>
    <w:rsid w:val="00F6480E"/>
    <w:rsid w:val="00F656AB"/>
    <w:rsid w:val="00F65977"/>
    <w:rsid w:val="00F65E71"/>
    <w:rsid w:val="00F66033"/>
    <w:rsid w:val="00F66490"/>
    <w:rsid w:val="00F66717"/>
    <w:rsid w:val="00F671A2"/>
    <w:rsid w:val="00F675AB"/>
    <w:rsid w:val="00F72A91"/>
    <w:rsid w:val="00F72BB5"/>
    <w:rsid w:val="00F72CC7"/>
    <w:rsid w:val="00F72DA6"/>
    <w:rsid w:val="00F732A7"/>
    <w:rsid w:val="00F73C39"/>
    <w:rsid w:val="00F74370"/>
    <w:rsid w:val="00F7458F"/>
    <w:rsid w:val="00F74F5A"/>
    <w:rsid w:val="00F75F77"/>
    <w:rsid w:val="00F76FA9"/>
    <w:rsid w:val="00F778BF"/>
    <w:rsid w:val="00F77F61"/>
    <w:rsid w:val="00F8041C"/>
    <w:rsid w:val="00F80ABD"/>
    <w:rsid w:val="00F82AFC"/>
    <w:rsid w:val="00F82C31"/>
    <w:rsid w:val="00F84F6B"/>
    <w:rsid w:val="00F85B6D"/>
    <w:rsid w:val="00F8618B"/>
    <w:rsid w:val="00F877FA"/>
    <w:rsid w:val="00F927A2"/>
    <w:rsid w:val="00F927EB"/>
    <w:rsid w:val="00F9335C"/>
    <w:rsid w:val="00F93B51"/>
    <w:rsid w:val="00F94729"/>
    <w:rsid w:val="00F94BBF"/>
    <w:rsid w:val="00F94DFB"/>
    <w:rsid w:val="00F9773D"/>
    <w:rsid w:val="00FA0B91"/>
    <w:rsid w:val="00FA2088"/>
    <w:rsid w:val="00FA2371"/>
    <w:rsid w:val="00FA2D87"/>
    <w:rsid w:val="00FA2E5C"/>
    <w:rsid w:val="00FA320A"/>
    <w:rsid w:val="00FA4093"/>
    <w:rsid w:val="00FA4F9D"/>
    <w:rsid w:val="00FA584E"/>
    <w:rsid w:val="00FA5BD2"/>
    <w:rsid w:val="00FA5D13"/>
    <w:rsid w:val="00FA61F7"/>
    <w:rsid w:val="00FA7165"/>
    <w:rsid w:val="00FA78CE"/>
    <w:rsid w:val="00FB0320"/>
    <w:rsid w:val="00FB1EA4"/>
    <w:rsid w:val="00FB222D"/>
    <w:rsid w:val="00FB2428"/>
    <w:rsid w:val="00FB262A"/>
    <w:rsid w:val="00FB2D59"/>
    <w:rsid w:val="00FB3A73"/>
    <w:rsid w:val="00FB4304"/>
    <w:rsid w:val="00FB4411"/>
    <w:rsid w:val="00FB7119"/>
    <w:rsid w:val="00FB74C6"/>
    <w:rsid w:val="00FB7DC0"/>
    <w:rsid w:val="00FC01AF"/>
    <w:rsid w:val="00FC23D5"/>
    <w:rsid w:val="00FC284A"/>
    <w:rsid w:val="00FC28B1"/>
    <w:rsid w:val="00FC2E39"/>
    <w:rsid w:val="00FC32B4"/>
    <w:rsid w:val="00FC3875"/>
    <w:rsid w:val="00FC3F2E"/>
    <w:rsid w:val="00FC4B6D"/>
    <w:rsid w:val="00FC54D2"/>
    <w:rsid w:val="00FC65E3"/>
    <w:rsid w:val="00FC7193"/>
    <w:rsid w:val="00FC7B92"/>
    <w:rsid w:val="00FC7E04"/>
    <w:rsid w:val="00FD012E"/>
    <w:rsid w:val="00FD01CE"/>
    <w:rsid w:val="00FD0698"/>
    <w:rsid w:val="00FD092F"/>
    <w:rsid w:val="00FD1186"/>
    <w:rsid w:val="00FD3C6A"/>
    <w:rsid w:val="00FD3D33"/>
    <w:rsid w:val="00FD4F46"/>
    <w:rsid w:val="00FD5794"/>
    <w:rsid w:val="00FD59A7"/>
    <w:rsid w:val="00FD5AF6"/>
    <w:rsid w:val="00FD64A4"/>
    <w:rsid w:val="00FD71D1"/>
    <w:rsid w:val="00FD7E7B"/>
    <w:rsid w:val="00FE0BE5"/>
    <w:rsid w:val="00FE0D2B"/>
    <w:rsid w:val="00FE1481"/>
    <w:rsid w:val="00FE1C7C"/>
    <w:rsid w:val="00FE1D55"/>
    <w:rsid w:val="00FE298A"/>
    <w:rsid w:val="00FE2B18"/>
    <w:rsid w:val="00FE3EDC"/>
    <w:rsid w:val="00FE5627"/>
    <w:rsid w:val="00FE5942"/>
    <w:rsid w:val="00FE5965"/>
    <w:rsid w:val="00FE6024"/>
    <w:rsid w:val="00FE63E4"/>
    <w:rsid w:val="00FE6B45"/>
    <w:rsid w:val="00FE7891"/>
    <w:rsid w:val="00FE7AEE"/>
    <w:rsid w:val="00FF05A3"/>
    <w:rsid w:val="00FF0B70"/>
    <w:rsid w:val="00FF123E"/>
    <w:rsid w:val="00FF2A21"/>
    <w:rsid w:val="00FF50DC"/>
    <w:rsid w:val="00FF516B"/>
    <w:rsid w:val="00FF5351"/>
    <w:rsid w:val="00FF5950"/>
    <w:rsid w:val="00FF5EEA"/>
    <w:rsid w:val="00FF638C"/>
    <w:rsid w:val="00FF6D0F"/>
    <w:rsid w:val="00FF73C0"/>
    <w:rsid w:val="00FF7DE8"/>
    <w:rsid w:val="016ABA9A"/>
    <w:rsid w:val="017F9359"/>
    <w:rsid w:val="01BDD93B"/>
    <w:rsid w:val="01CB3640"/>
    <w:rsid w:val="01DE6E90"/>
    <w:rsid w:val="01E523B8"/>
    <w:rsid w:val="01E8802E"/>
    <w:rsid w:val="020E0288"/>
    <w:rsid w:val="0282279C"/>
    <w:rsid w:val="02B22803"/>
    <w:rsid w:val="03510BD6"/>
    <w:rsid w:val="03759BDE"/>
    <w:rsid w:val="03FDC5B6"/>
    <w:rsid w:val="041E6F2E"/>
    <w:rsid w:val="04704B77"/>
    <w:rsid w:val="04ABD7F6"/>
    <w:rsid w:val="04C46884"/>
    <w:rsid w:val="05A215D7"/>
    <w:rsid w:val="05F927E7"/>
    <w:rsid w:val="064ADC9C"/>
    <w:rsid w:val="066B9D31"/>
    <w:rsid w:val="076F339A"/>
    <w:rsid w:val="07BF15F7"/>
    <w:rsid w:val="081797C5"/>
    <w:rsid w:val="081CD160"/>
    <w:rsid w:val="085EFF11"/>
    <w:rsid w:val="08B18123"/>
    <w:rsid w:val="08FFDF1E"/>
    <w:rsid w:val="09B7D671"/>
    <w:rsid w:val="0A09ABB7"/>
    <w:rsid w:val="0A23E7F5"/>
    <w:rsid w:val="0A50A390"/>
    <w:rsid w:val="0A68689F"/>
    <w:rsid w:val="0AA42FEE"/>
    <w:rsid w:val="0ADBF649"/>
    <w:rsid w:val="0B1D4E44"/>
    <w:rsid w:val="0B3C8B9A"/>
    <w:rsid w:val="0B9D6F5E"/>
    <w:rsid w:val="0BC31483"/>
    <w:rsid w:val="0BE7574F"/>
    <w:rsid w:val="0C0A461E"/>
    <w:rsid w:val="0C5F787E"/>
    <w:rsid w:val="0D5F81C7"/>
    <w:rsid w:val="0DCB723B"/>
    <w:rsid w:val="0F3D6D3D"/>
    <w:rsid w:val="0F4AD68B"/>
    <w:rsid w:val="0F5A2F8A"/>
    <w:rsid w:val="0FB29F8D"/>
    <w:rsid w:val="0FE8BC98"/>
    <w:rsid w:val="1030A47B"/>
    <w:rsid w:val="10931CDE"/>
    <w:rsid w:val="10BE81EB"/>
    <w:rsid w:val="10FF2C5E"/>
    <w:rsid w:val="11113D67"/>
    <w:rsid w:val="1112070D"/>
    <w:rsid w:val="112CC2AE"/>
    <w:rsid w:val="1169BBCF"/>
    <w:rsid w:val="1191FC82"/>
    <w:rsid w:val="11970251"/>
    <w:rsid w:val="1202BF6F"/>
    <w:rsid w:val="12970830"/>
    <w:rsid w:val="12F2EDC4"/>
    <w:rsid w:val="13B4B32B"/>
    <w:rsid w:val="13D895EF"/>
    <w:rsid w:val="144801D1"/>
    <w:rsid w:val="1464B256"/>
    <w:rsid w:val="1482F22F"/>
    <w:rsid w:val="15E1E209"/>
    <w:rsid w:val="160A6DC2"/>
    <w:rsid w:val="16158144"/>
    <w:rsid w:val="163B8763"/>
    <w:rsid w:val="1646403E"/>
    <w:rsid w:val="168DF10E"/>
    <w:rsid w:val="169A98C6"/>
    <w:rsid w:val="16C4B66D"/>
    <w:rsid w:val="16E4E0F0"/>
    <w:rsid w:val="172C7E8A"/>
    <w:rsid w:val="17576012"/>
    <w:rsid w:val="178F1268"/>
    <w:rsid w:val="17B5B50F"/>
    <w:rsid w:val="17BDCE79"/>
    <w:rsid w:val="17D9097A"/>
    <w:rsid w:val="17FAC6C8"/>
    <w:rsid w:val="183DB99C"/>
    <w:rsid w:val="184347F6"/>
    <w:rsid w:val="18D9ADF4"/>
    <w:rsid w:val="18DD53C1"/>
    <w:rsid w:val="1996E902"/>
    <w:rsid w:val="199A0342"/>
    <w:rsid w:val="19B82401"/>
    <w:rsid w:val="1A319F52"/>
    <w:rsid w:val="1A64D2DE"/>
    <w:rsid w:val="1AE30622"/>
    <w:rsid w:val="1AFEB6AB"/>
    <w:rsid w:val="1B19060B"/>
    <w:rsid w:val="1B6364A3"/>
    <w:rsid w:val="1B65308A"/>
    <w:rsid w:val="1C246549"/>
    <w:rsid w:val="1C28E95A"/>
    <w:rsid w:val="1C37FDED"/>
    <w:rsid w:val="1C4EB6BC"/>
    <w:rsid w:val="1CABED68"/>
    <w:rsid w:val="1CD886A4"/>
    <w:rsid w:val="1CE04BD5"/>
    <w:rsid w:val="1CF7D490"/>
    <w:rsid w:val="1CFCA243"/>
    <w:rsid w:val="1D283266"/>
    <w:rsid w:val="1E0CBAE0"/>
    <w:rsid w:val="1E123F7B"/>
    <w:rsid w:val="1E696FD9"/>
    <w:rsid w:val="1E81E83D"/>
    <w:rsid w:val="1F5BA4A8"/>
    <w:rsid w:val="209ED97C"/>
    <w:rsid w:val="20BB25D4"/>
    <w:rsid w:val="20C19DBB"/>
    <w:rsid w:val="212FFC10"/>
    <w:rsid w:val="219702BC"/>
    <w:rsid w:val="21FC39B1"/>
    <w:rsid w:val="223C9E22"/>
    <w:rsid w:val="2256A8E0"/>
    <w:rsid w:val="2281E1DA"/>
    <w:rsid w:val="22AEDC8D"/>
    <w:rsid w:val="22F84656"/>
    <w:rsid w:val="233D21BE"/>
    <w:rsid w:val="2347BC98"/>
    <w:rsid w:val="23D80347"/>
    <w:rsid w:val="2495927D"/>
    <w:rsid w:val="25031DA9"/>
    <w:rsid w:val="2507A0A1"/>
    <w:rsid w:val="2577D533"/>
    <w:rsid w:val="2599D6B5"/>
    <w:rsid w:val="2601EEBC"/>
    <w:rsid w:val="2651C13F"/>
    <w:rsid w:val="2686ECC6"/>
    <w:rsid w:val="26D0C74A"/>
    <w:rsid w:val="26D6EBD0"/>
    <w:rsid w:val="270624A3"/>
    <w:rsid w:val="2706B9FF"/>
    <w:rsid w:val="272EF862"/>
    <w:rsid w:val="27934F6F"/>
    <w:rsid w:val="27A984CF"/>
    <w:rsid w:val="27B5E139"/>
    <w:rsid w:val="2819A56E"/>
    <w:rsid w:val="28B5EA5A"/>
    <w:rsid w:val="28C19940"/>
    <w:rsid w:val="28E50B02"/>
    <w:rsid w:val="2906EA90"/>
    <w:rsid w:val="29230729"/>
    <w:rsid w:val="2956C204"/>
    <w:rsid w:val="2A4D7CC0"/>
    <w:rsid w:val="2A647D88"/>
    <w:rsid w:val="2AA65596"/>
    <w:rsid w:val="2AAA8030"/>
    <w:rsid w:val="2AE35011"/>
    <w:rsid w:val="2B63EFE5"/>
    <w:rsid w:val="2C2861CB"/>
    <w:rsid w:val="2C2E108F"/>
    <w:rsid w:val="2C346F63"/>
    <w:rsid w:val="2C355287"/>
    <w:rsid w:val="2D1A18DD"/>
    <w:rsid w:val="2D453FCB"/>
    <w:rsid w:val="2D697FF8"/>
    <w:rsid w:val="2DBB2A85"/>
    <w:rsid w:val="2DC7E8F7"/>
    <w:rsid w:val="2DE8745B"/>
    <w:rsid w:val="2E027F56"/>
    <w:rsid w:val="2E4DABEE"/>
    <w:rsid w:val="2F2E6341"/>
    <w:rsid w:val="2F50C82B"/>
    <w:rsid w:val="2F5DAE20"/>
    <w:rsid w:val="2FA23950"/>
    <w:rsid w:val="2FDB03FA"/>
    <w:rsid w:val="30486B11"/>
    <w:rsid w:val="308C56A0"/>
    <w:rsid w:val="30B4F7EE"/>
    <w:rsid w:val="30BD33B5"/>
    <w:rsid w:val="30D6DA62"/>
    <w:rsid w:val="3198A0D5"/>
    <w:rsid w:val="31D2131B"/>
    <w:rsid w:val="320617A8"/>
    <w:rsid w:val="320740C1"/>
    <w:rsid w:val="32171F07"/>
    <w:rsid w:val="326B65A1"/>
    <w:rsid w:val="3322EA4E"/>
    <w:rsid w:val="33B92D11"/>
    <w:rsid w:val="33BAD65B"/>
    <w:rsid w:val="33FD2375"/>
    <w:rsid w:val="33FD50F7"/>
    <w:rsid w:val="3448CF5C"/>
    <w:rsid w:val="3456F651"/>
    <w:rsid w:val="349F9D6D"/>
    <w:rsid w:val="34AD2AAC"/>
    <w:rsid w:val="34BD9709"/>
    <w:rsid w:val="34D4D7BB"/>
    <w:rsid w:val="34F12DBF"/>
    <w:rsid w:val="3501B15C"/>
    <w:rsid w:val="35050570"/>
    <w:rsid w:val="3572531F"/>
    <w:rsid w:val="357B9676"/>
    <w:rsid w:val="35E84A52"/>
    <w:rsid w:val="36524827"/>
    <w:rsid w:val="369518BF"/>
    <w:rsid w:val="36E75A65"/>
    <w:rsid w:val="370B6CBF"/>
    <w:rsid w:val="37B99FC7"/>
    <w:rsid w:val="37D424F4"/>
    <w:rsid w:val="382D5FF8"/>
    <w:rsid w:val="38B9494B"/>
    <w:rsid w:val="38C0B54C"/>
    <w:rsid w:val="38CE980C"/>
    <w:rsid w:val="398CB33E"/>
    <w:rsid w:val="39E44838"/>
    <w:rsid w:val="3A31A630"/>
    <w:rsid w:val="3A56CE42"/>
    <w:rsid w:val="3AB00C23"/>
    <w:rsid w:val="3AEC9A6F"/>
    <w:rsid w:val="3B96E8D4"/>
    <w:rsid w:val="3C5EDCF9"/>
    <w:rsid w:val="3CDF761D"/>
    <w:rsid w:val="3CE7B8E5"/>
    <w:rsid w:val="3CE866C0"/>
    <w:rsid w:val="3D6347CE"/>
    <w:rsid w:val="3D76D557"/>
    <w:rsid w:val="3DBC79A7"/>
    <w:rsid w:val="3E0361FD"/>
    <w:rsid w:val="3E3BEF78"/>
    <w:rsid w:val="3F5DEAA4"/>
    <w:rsid w:val="3F88BAF4"/>
    <w:rsid w:val="3FFBDD7B"/>
    <w:rsid w:val="40518BB9"/>
    <w:rsid w:val="410BAFB5"/>
    <w:rsid w:val="411A88BD"/>
    <w:rsid w:val="4167E369"/>
    <w:rsid w:val="41E78AEB"/>
    <w:rsid w:val="423EC9D5"/>
    <w:rsid w:val="426957FD"/>
    <w:rsid w:val="426DE4CB"/>
    <w:rsid w:val="42BBC890"/>
    <w:rsid w:val="42EFE6D3"/>
    <w:rsid w:val="431EC299"/>
    <w:rsid w:val="435E6215"/>
    <w:rsid w:val="4370BD74"/>
    <w:rsid w:val="43ACE5D1"/>
    <w:rsid w:val="4435AD71"/>
    <w:rsid w:val="44541F98"/>
    <w:rsid w:val="44A413B3"/>
    <w:rsid w:val="451BB07B"/>
    <w:rsid w:val="455362D5"/>
    <w:rsid w:val="459E993C"/>
    <w:rsid w:val="45C60089"/>
    <w:rsid w:val="46CB1449"/>
    <w:rsid w:val="4754E41B"/>
    <w:rsid w:val="47825631"/>
    <w:rsid w:val="47C752A4"/>
    <w:rsid w:val="48216535"/>
    <w:rsid w:val="486F1C90"/>
    <w:rsid w:val="487D6C1F"/>
    <w:rsid w:val="488355BD"/>
    <w:rsid w:val="4911166C"/>
    <w:rsid w:val="49A0C1D5"/>
    <w:rsid w:val="49B4AC58"/>
    <w:rsid w:val="4A2860A2"/>
    <w:rsid w:val="4A5DC46A"/>
    <w:rsid w:val="4A60CA35"/>
    <w:rsid w:val="4ACDB604"/>
    <w:rsid w:val="4B36033F"/>
    <w:rsid w:val="4B8A9C22"/>
    <w:rsid w:val="4BED6845"/>
    <w:rsid w:val="4BEEB002"/>
    <w:rsid w:val="4C288C6B"/>
    <w:rsid w:val="4C2A8227"/>
    <w:rsid w:val="4C488B81"/>
    <w:rsid w:val="4C813864"/>
    <w:rsid w:val="4CF9C4B7"/>
    <w:rsid w:val="4D708D35"/>
    <w:rsid w:val="4DB49484"/>
    <w:rsid w:val="4DB6C4C8"/>
    <w:rsid w:val="4DBE3A8C"/>
    <w:rsid w:val="4E2F8230"/>
    <w:rsid w:val="4E71334E"/>
    <w:rsid w:val="4EE15BA3"/>
    <w:rsid w:val="4EF574BE"/>
    <w:rsid w:val="4F007751"/>
    <w:rsid w:val="4F11813A"/>
    <w:rsid w:val="50391A24"/>
    <w:rsid w:val="50408C31"/>
    <w:rsid w:val="505A1D52"/>
    <w:rsid w:val="505B56B1"/>
    <w:rsid w:val="507E5223"/>
    <w:rsid w:val="50DCCE5B"/>
    <w:rsid w:val="511F7CBB"/>
    <w:rsid w:val="5157B9C0"/>
    <w:rsid w:val="51605A32"/>
    <w:rsid w:val="517273E7"/>
    <w:rsid w:val="5174556C"/>
    <w:rsid w:val="51C83F3B"/>
    <w:rsid w:val="51F01727"/>
    <w:rsid w:val="522AD8CC"/>
    <w:rsid w:val="52366662"/>
    <w:rsid w:val="5263573E"/>
    <w:rsid w:val="52A13216"/>
    <w:rsid w:val="52F66FD2"/>
    <w:rsid w:val="52F786DB"/>
    <w:rsid w:val="53D567CF"/>
    <w:rsid w:val="541181D8"/>
    <w:rsid w:val="54627BBA"/>
    <w:rsid w:val="5481ED51"/>
    <w:rsid w:val="549FEE64"/>
    <w:rsid w:val="54B1353D"/>
    <w:rsid w:val="54CE1202"/>
    <w:rsid w:val="54E11290"/>
    <w:rsid w:val="55C13AF7"/>
    <w:rsid w:val="55DB6574"/>
    <w:rsid w:val="55E4D2D4"/>
    <w:rsid w:val="55F81081"/>
    <w:rsid w:val="561C9AFF"/>
    <w:rsid w:val="562C2EB3"/>
    <w:rsid w:val="56961CB5"/>
    <w:rsid w:val="56AE0F43"/>
    <w:rsid w:val="56C65D7E"/>
    <w:rsid w:val="570D8A66"/>
    <w:rsid w:val="576F521E"/>
    <w:rsid w:val="57B667A3"/>
    <w:rsid w:val="57D65B24"/>
    <w:rsid w:val="583EC6FA"/>
    <w:rsid w:val="5890B813"/>
    <w:rsid w:val="589158F5"/>
    <w:rsid w:val="58A4DEAD"/>
    <w:rsid w:val="59090C1E"/>
    <w:rsid w:val="59146A68"/>
    <w:rsid w:val="59202D84"/>
    <w:rsid w:val="592E92C0"/>
    <w:rsid w:val="596FED79"/>
    <w:rsid w:val="59839130"/>
    <w:rsid w:val="5989DA74"/>
    <w:rsid w:val="5A47103B"/>
    <w:rsid w:val="5A9F9C27"/>
    <w:rsid w:val="5AB2F898"/>
    <w:rsid w:val="5AC62B80"/>
    <w:rsid w:val="5B43BF92"/>
    <w:rsid w:val="5B58B8BE"/>
    <w:rsid w:val="5BA5D01D"/>
    <w:rsid w:val="5BD9AC3D"/>
    <w:rsid w:val="5BE67062"/>
    <w:rsid w:val="5C71673B"/>
    <w:rsid w:val="5C89BC4D"/>
    <w:rsid w:val="5D038A04"/>
    <w:rsid w:val="5D39DAAD"/>
    <w:rsid w:val="5D3D4825"/>
    <w:rsid w:val="5DAC04B5"/>
    <w:rsid w:val="5DB4CC5D"/>
    <w:rsid w:val="5E61804F"/>
    <w:rsid w:val="5E9A61D5"/>
    <w:rsid w:val="5EBF5CC8"/>
    <w:rsid w:val="606D35E7"/>
    <w:rsid w:val="60AAD03A"/>
    <w:rsid w:val="61A0F8F5"/>
    <w:rsid w:val="61C5626D"/>
    <w:rsid w:val="626AB50B"/>
    <w:rsid w:val="62BA7587"/>
    <w:rsid w:val="62DB94AD"/>
    <w:rsid w:val="636D2CF6"/>
    <w:rsid w:val="6411CE8D"/>
    <w:rsid w:val="644C5B85"/>
    <w:rsid w:val="64651246"/>
    <w:rsid w:val="64B18957"/>
    <w:rsid w:val="64CBAA0D"/>
    <w:rsid w:val="64E2053E"/>
    <w:rsid w:val="654780E4"/>
    <w:rsid w:val="654BCDE7"/>
    <w:rsid w:val="656FDAA8"/>
    <w:rsid w:val="65F207B6"/>
    <w:rsid w:val="661BFC2D"/>
    <w:rsid w:val="6620E77D"/>
    <w:rsid w:val="6628647C"/>
    <w:rsid w:val="66D27EC1"/>
    <w:rsid w:val="66E8B16C"/>
    <w:rsid w:val="66F6421B"/>
    <w:rsid w:val="67192C90"/>
    <w:rsid w:val="672155AF"/>
    <w:rsid w:val="67D2CFCE"/>
    <w:rsid w:val="68BEE988"/>
    <w:rsid w:val="68F8E611"/>
    <w:rsid w:val="6935279A"/>
    <w:rsid w:val="693AE419"/>
    <w:rsid w:val="6984ADC4"/>
    <w:rsid w:val="6A5042BD"/>
    <w:rsid w:val="6A8C27AD"/>
    <w:rsid w:val="6AA11A09"/>
    <w:rsid w:val="6AC7C8F4"/>
    <w:rsid w:val="6B414D4E"/>
    <w:rsid w:val="6BE5D073"/>
    <w:rsid w:val="6C733E27"/>
    <w:rsid w:val="6CF604D8"/>
    <w:rsid w:val="6DB1683E"/>
    <w:rsid w:val="6E08A38A"/>
    <w:rsid w:val="6E1AF125"/>
    <w:rsid w:val="6E502E15"/>
    <w:rsid w:val="6F2C3722"/>
    <w:rsid w:val="6F52B7BC"/>
    <w:rsid w:val="6F61EBC0"/>
    <w:rsid w:val="6F925E88"/>
    <w:rsid w:val="6FC62F93"/>
    <w:rsid w:val="70785036"/>
    <w:rsid w:val="70C05D95"/>
    <w:rsid w:val="70D4BD8D"/>
    <w:rsid w:val="70DF1A93"/>
    <w:rsid w:val="712AB577"/>
    <w:rsid w:val="7199D0C0"/>
    <w:rsid w:val="71B4CDCF"/>
    <w:rsid w:val="72883E8D"/>
    <w:rsid w:val="7291AC5C"/>
    <w:rsid w:val="731B0169"/>
    <w:rsid w:val="7335E422"/>
    <w:rsid w:val="733EFB04"/>
    <w:rsid w:val="73F2BA9E"/>
    <w:rsid w:val="74232FC5"/>
    <w:rsid w:val="754CC0DD"/>
    <w:rsid w:val="7550206A"/>
    <w:rsid w:val="7566268C"/>
    <w:rsid w:val="760DEAE1"/>
    <w:rsid w:val="765F4B23"/>
    <w:rsid w:val="76C7F036"/>
    <w:rsid w:val="76FF6359"/>
    <w:rsid w:val="77896384"/>
    <w:rsid w:val="778D9D99"/>
    <w:rsid w:val="77B54374"/>
    <w:rsid w:val="78339105"/>
    <w:rsid w:val="78417E7E"/>
    <w:rsid w:val="78443691"/>
    <w:rsid w:val="78E02DA2"/>
    <w:rsid w:val="79225ECA"/>
    <w:rsid w:val="7953B569"/>
    <w:rsid w:val="7987A365"/>
    <w:rsid w:val="79DAEAB0"/>
    <w:rsid w:val="7A6FC1A2"/>
    <w:rsid w:val="7A95C0BB"/>
    <w:rsid w:val="7AA41A51"/>
    <w:rsid w:val="7AAD522B"/>
    <w:rsid w:val="7BD1807F"/>
    <w:rsid w:val="7BEE9409"/>
    <w:rsid w:val="7C423F34"/>
    <w:rsid w:val="7E302EAB"/>
    <w:rsid w:val="7E3D860F"/>
    <w:rsid w:val="7E513481"/>
    <w:rsid w:val="7E67C873"/>
    <w:rsid w:val="7F5AD470"/>
    <w:rsid w:val="7F61401E"/>
    <w:rsid w:val="7F854129"/>
    <w:rsid w:val="7F933C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46A7E"/>
  <w15:chartTrackingRefBased/>
  <w15:docId w15:val="{1C3340A2-0EAE-744F-92E0-A08DFFFC8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5CB"/>
  </w:style>
  <w:style w:type="paragraph" w:styleId="Heading1">
    <w:name w:val="heading 1"/>
    <w:basedOn w:val="Normal"/>
    <w:next w:val="Normal"/>
    <w:link w:val="Heading1Char"/>
    <w:uiPriority w:val="9"/>
    <w:qFormat/>
    <w:rsid w:val="0042218C"/>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42218C"/>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2218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2218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2218C"/>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42218C"/>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42218C"/>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42218C"/>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42218C"/>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18C"/>
    <w:rPr>
      <w:smallCaps/>
      <w:spacing w:val="5"/>
      <w:sz w:val="32"/>
      <w:szCs w:val="32"/>
    </w:rPr>
  </w:style>
  <w:style w:type="character" w:customStyle="1" w:styleId="Heading2Char">
    <w:name w:val="Heading 2 Char"/>
    <w:basedOn w:val="DefaultParagraphFont"/>
    <w:link w:val="Heading2"/>
    <w:uiPriority w:val="9"/>
    <w:semiHidden/>
    <w:rsid w:val="0042218C"/>
    <w:rPr>
      <w:smallCaps/>
      <w:spacing w:val="5"/>
      <w:sz w:val="28"/>
      <w:szCs w:val="28"/>
    </w:rPr>
  </w:style>
  <w:style w:type="character" w:customStyle="1" w:styleId="Heading3Char">
    <w:name w:val="Heading 3 Char"/>
    <w:basedOn w:val="DefaultParagraphFont"/>
    <w:link w:val="Heading3"/>
    <w:uiPriority w:val="9"/>
    <w:rsid w:val="0042218C"/>
    <w:rPr>
      <w:smallCaps/>
      <w:spacing w:val="5"/>
      <w:sz w:val="24"/>
      <w:szCs w:val="24"/>
    </w:rPr>
  </w:style>
  <w:style w:type="character" w:customStyle="1" w:styleId="Heading4Char">
    <w:name w:val="Heading 4 Char"/>
    <w:basedOn w:val="DefaultParagraphFont"/>
    <w:link w:val="Heading4"/>
    <w:uiPriority w:val="9"/>
    <w:semiHidden/>
    <w:rsid w:val="0042218C"/>
    <w:rPr>
      <w:smallCaps/>
      <w:spacing w:val="10"/>
      <w:sz w:val="22"/>
      <w:szCs w:val="22"/>
    </w:rPr>
  </w:style>
  <w:style w:type="character" w:customStyle="1" w:styleId="Heading5Char">
    <w:name w:val="Heading 5 Char"/>
    <w:basedOn w:val="DefaultParagraphFont"/>
    <w:link w:val="Heading5"/>
    <w:uiPriority w:val="9"/>
    <w:semiHidden/>
    <w:rsid w:val="0042218C"/>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42218C"/>
    <w:rPr>
      <w:smallCaps/>
      <w:color w:val="E97132" w:themeColor="accent2"/>
      <w:spacing w:val="5"/>
      <w:sz w:val="22"/>
    </w:rPr>
  </w:style>
  <w:style w:type="character" w:customStyle="1" w:styleId="Heading7Char">
    <w:name w:val="Heading 7 Char"/>
    <w:basedOn w:val="DefaultParagraphFont"/>
    <w:link w:val="Heading7"/>
    <w:uiPriority w:val="9"/>
    <w:semiHidden/>
    <w:rsid w:val="0042218C"/>
    <w:rPr>
      <w:b/>
      <w:smallCaps/>
      <w:color w:val="E97132" w:themeColor="accent2"/>
      <w:spacing w:val="10"/>
    </w:rPr>
  </w:style>
  <w:style w:type="character" w:customStyle="1" w:styleId="Heading8Char">
    <w:name w:val="Heading 8 Char"/>
    <w:basedOn w:val="DefaultParagraphFont"/>
    <w:link w:val="Heading8"/>
    <w:uiPriority w:val="9"/>
    <w:semiHidden/>
    <w:rsid w:val="0042218C"/>
    <w:rPr>
      <w:b/>
      <w:i/>
      <w:smallCaps/>
      <w:color w:val="BF4E14" w:themeColor="accent2" w:themeShade="BF"/>
    </w:rPr>
  </w:style>
  <w:style w:type="character" w:customStyle="1" w:styleId="Heading9Char">
    <w:name w:val="Heading 9 Char"/>
    <w:basedOn w:val="DefaultParagraphFont"/>
    <w:link w:val="Heading9"/>
    <w:uiPriority w:val="9"/>
    <w:semiHidden/>
    <w:rsid w:val="0042218C"/>
    <w:rPr>
      <w:b/>
      <w:i/>
      <w:smallCaps/>
      <w:color w:val="7F340D" w:themeColor="accent2" w:themeShade="7F"/>
    </w:rPr>
  </w:style>
  <w:style w:type="paragraph" w:styleId="Title">
    <w:name w:val="Title"/>
    <w:basedOn w:val="Normal"/>
    <w:next w:val="Normal"/>
    <w:link w:val="TitleChar"/>
    <w:uiPriority w:val="10"/>
    <w:qFormat/>
    <w:rsid w:val="0042218C"/>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42218C"/>
    <w:rPr>
      <w:smallCaps/>
      <w:sz w:val="48"/>
      <w:szCs w:val="48"/>
    </w:rPr>
  </w:style>
  <w:style w:type="paragraph" w:styleId="Subtitle">
    <w:name w:val="Subtitle"/>
    <w:basedOn w:val="Normal"/>
    <w:next w:val="Normal"/>
    <w:link w:val="SubtitleChar"/>
    <w:uiPriority w:val="11"/>
    <w:qFormat/>
    <w:rsid w:val="0042218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2218C"/>
    <w:rPr>
      <w:rFonts w:asciiTheme="majorHAnsi" w:eastAsiaTheme="majorEastAsia" w:hAnsiTheme="majorHAnsi" w:cstheme="majorBidi"/>
      <w:szCs w:val="22"/>
    </w:rPr>
  </w:style>
  <w:style w:type="paragraph" w:styleId="Quote">
    <w:name w:val="Quote"/>
    <w:basedOn w:val="Normal"/>
    <w:next w:val="Normal"/>
    <w:link w:val="QuoteChar"/>
    <w:uiPriority w:val="29"/>
    <w:qFormat/>
    <w:rsid w:val="0042218C"/>
    <w:rPr>
      <w:i/>
    </w:rPr>
  </w:style>
  <w:style w:type="character" w:customStyle="1" w:styleId="QuoteChar">
    <w:name w:val="Quote Char"/>
    <w:basedOn w:val="DefaultParagraphFont"/>
    <w:link w:val="Quote"/>
    <w:uiPriority w:val="29"/>
    <w:rsid w:val="0042218C"/>
    <w:rPr>
      <w:i/>
    </w:rPr>
  </w:style>
  <w:style w:type="paragraph" w:styleId="ListParagraph">
    <w:name w:val="List Paragraph"/>
    <w:basedOn w:val="Normal"/>
    <w:uiPriority w:val="34"/>
    <w:qFormat/>
    <w:rsid w:val="0042218C"/>
    <w:pPr>
      <w:ind w:left="720"/>
      <w:contextualSpacing/>
    </w:pPr>
  </w:style>
  <w:style w:type="character" w:styleId="IntenseEmphasis">
    <w:name w:val="Intense Emphasis"/>
    <w:uiPriority w:val="21"/>
    <w:qFormat/>
    <w:rsid w:val="0042218C"/>
    <w:rPr>
      <w:b/>
      <w:i/>
      <w:color w:val="E97132" w:themeColor="accent2"/>
      <w:spacing w:val="10"/>
    </w:rPr>
  </w:style>
  <w:style w:type="paragraph" w:styleId="IntenseQuote">
    <w:name w:val="Intense Quote"/>
    <w:basedOn w:val="Normal"/>
    <w:next w:val="Normal"/>
    <w:link w:val="IntenseQuoteChar"/>
    <w:uiPriority w:val="30"/>
    <w:qFormat/>
    <w:rsid w:val="0042218C"/>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2218C"/>
    <w:rPr>
      <w:b/>
      <w:i/>
      <w:color w:val="FFFFFF" w:themeColor="background1"/>
      <w:shd w:val="clear" w:color="auto" w:fill="E97132" w:themeFill="accent2"/>
    </w:rPr>
  </w:style>
  <w:style w:type="character" w:styleId="IntenseReference">
    <w:name w:val="Intense Reference"/>
    <w:uiPriority w:val="32"/>
    <w:qFormat/>
    <w:rsid w:val="0042218C"/>
    <w:rPr>
      <w:b/>
      <w:bCs/>
      <w:smallCaps/>
      <w:spacing w:val="5"/>
      <w:sz w:val="22"/>
      <w:szCs w:val="22"/>
      <w:u w:val="single"/>
    </w:rPr>
  </w:style>
  <w:style w:type="table" w:styleId="TableGridLight">
    <w:name w:val="Grid Table Light"/>
    <w:basedOn w:val="TableNormal"/>
    <w:uiPriority w:val="40"/>
    <w:rsid w:val="000019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ord">
    <w:name w:val="mord"/>
    <w:basedOn w:val="DefaultParagraphFont"/>
    <w:rsid w:val="000019EA"/>
  </w:style>
  <w:style w:type="character" w:customStyle="1" w:styleId="mrel">
    <w:name w:val="mrel"/>
    <w:basedOn w:val="DefaultParagraphFont"/>
    <w:rsid w:val="000019EA"/>
  </w:style>
  <w:style w:type="character" w:customStyle="1" w:styleId="mbin">
    <w:name w:val="mbin"/>
    <w:basedOn w:val="DefaultParagraphFont"/>
    <w:rsid w:val="000019EA"/>
  </w:style>
  <w:style w:type="character" w:customStyle="1" w:styleId="vlist-s">
    <w:name w:val="vlist-s"/>
    <w:basedOn w:val="DefaultParagraphFont"/>
    <w:rsid w:val="000019EA"/>
  </w:style>
  <w:style w:type="paragraph" w:styleId="Header">
    <w:name w:val="header"/>
    <w:basedOn w:val="Normal"/>
    <w:link w:val="HeaderChar"/>
    <w:uiPriority w:val="99"/>
    <w:unhideWhenUsed/>
    <w:rsid w:val="00626366"/>
    <w:pPr>
      <w:tabs>
        <w:tab w:val="center" w:pos="4680"/>
        <w:tab w:val="right" w:pos="9360"/>
      </w:tabs>
    </w:pPr>
  </w:style>
  <w:style w:type="character" w:customStyle="1" w:styleId="HeaderChar">
    <w:name w:val="Header Char"/>
    <w:basedOn w:val="DefaultParagraphFont"/>
    <w:link w:val="Header"/>
    <w:uiPriority w:val="99"/>
    <w:rsid w:val="0062636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626366"/>
    <w:pPr>
      <w:tabs>
        <w:tab w:val="center" w:pos="4680"/>
        <w:tab w:val="right" w:pos="9360"/>
      </w:tabs>
    </w:pPr>
  </w:style>
  <w:style w:type="character" w:customStyle="1" w:styleId="FooterChar">
    <w:name w:val="Footer Char"/>
    <w:basedOn w:val="DefaultParagraphFont"/>
    <w:link w:val="Footer"/>
    <w:uiPriority w:val="99"/>
    <w:rsid w:val="00626366"/>
    <w:rPr>
      <w:rFonts w:ascii="Times New Roman" w:eastAsia="Times New Roman" w:hAnsi="Times New Roman" w:cs="Times New Roman"/>
      <w:kern w:val="0"/>
      <w14:ligatures w14:val="none"/>
    </w:rPr>
  </w:style>
  <w:style w:type="paragraph" w:styleId="Caption">
    <w:name w:val="caption"/>
    <w:basedOn w:val="Normal"/>
    <w:next w:val="Normal"/>
    <w:uiPriority w:val="35"/>
    <w:semiHidden/>
    <w:unhideWhenUsed/>
    <w:qFormat/>
    <w:rsid w:val="0042218C"/>
    <w:rPr>
      <w:b/>
      <w:bCs/>
      <w:caps/>
      <w:sz w:val="16"/>
      <w:szCs w:val="18"/>
    </w:rPr>
  </w:style>
  <w:style w:type="character" w:styleId="Strong">
    <w:name w:val="Strong"/>
    <w:uiPriority w:val="22"/>
    <w:qFormat/>
    <w:rsid w:val="0042218C"/>
    <w:rPr>
      <w:b/>
      <w:color w:val="E97132" w:themeColor="accent2"/>
    </w:rPr>
  </w:style>
  <w:style w:type="character" w:styleId="Emphasis">
    <w:name w:val="Emphasis"/>
    <w:uiPriority w:val="20"/>
    <w:qFormat/>
    <w:rsid w:val="0042218C"/>
    <w:rPr>
      <w:b/>
      <w:i/>
      <w:spacing w:val="10"/>
    </w:rPr>
  </w:style>
  <w:style w:type="paragraph" w:styleId="NoSpacing">
    <w:name w:val="No Spacing"/>
    <w:basedOn w:val="Normal"/>
    <w:link w:val="NoSpacingChar"/>
    <w:uiPriority w:val="1"/>
    <w:qFormat/>
    <w:rsid w:val="0042218C"/>
    <w:pPr>
      <w:spacing w:after="0" w:line="240" w:lineRule="auto"/>
    </w:pPr>
  </w:style>
  <w:style w:type="character" w:customStyle="1" w:styleId="NoSpacingChar">
    <w:name w:val="No Spacing Char"/>
    <w:basedOn w:val="DefaultParagraphFont"/>
    <w:link w:val="NoSpacing"/>
    <w:uiPriority w:val="1"/>
    <w:rsid w:val="0042218C"/>
  </w:style>
  <w:style w:type="character" w:styleId="SubtleEmphasis">
    <w:name w:val="Subtle Emphasis"/>
    <w:uiPriority w:val="19"/>
    <w:qFormat/>
    <w:rsid w:val="0042218C"/>
    <w:rPr>
      <w:i/>
    </w:rPr>
  </w:style>
  <w:style w:type="character" w:styleId="SubtleReference">
    <w:name w:val="Subtle Reference"/>
    <w:uiPriority w:val="31"/>
    <w:qFormat/>
    <w:rsid w:val="0042218C"/>
    <w:rPr>
      <w:b/>
    </w:rPr>
  </w:style>
  <w:style w:type="character" w:styleId="BookTitle">
    <w:name w:val="Book Title"/>
    <w:uiPriority w:val="33"/>
    <w:qFormat/>
    <w:rsid w:val="0042218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2218C"/>
    <w:pPr>
      <w:outlineLvl w:val="9"/>
    </w:pPr>
  </w:style>
  <w:style w:type="table" w:styleId="PlainTable5">
    <w:name w:val="Plain Table 5"/>
    <w:basedOn w:val="TableNormal"/>
    <w:uiPriority w:val="45"/>
    <w:rsid w:val="00FB24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5A662E"/>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9B2D58"/>
    <w:pPr>
      <w:tabs>
        <w:tab w:val="left" w:pos="380"/>
      </w:tabs>
      <w:spacing w:after="0" w:line="480" w:lineRule="auto"/>
      <w:ind w:left="384" w:hanging="384"/>
    </w:pPr>
  </w:style>
  <w:style w:type="paragraph" w:styleId="CommentSubject">
    <w:name w:val="annotation subject"/>
    <w:basedOn w:val="CommentText"/>
    <w:next w:val="CommentText"/>
    <w:link w:val="CommentSubjectChar"/>
    <w:uiPriority w:val="99"/>
    <w:semiHidden/>
    <w:unhideWhenUsed/>
    <w:rsid w:val="00DC606E"/>
    <w:rPr>
      <w:b/>
      <w:bCs/>
    </w:rPr>
  </w:style>
  <w:style w:type="paragraph" w:styleId="CommentText">
    <w:name w:val="annotation text"/>
    <w:basedOn w:val="Normal"/>
    <w:link w:val="CommentTextChar"/>
    <w:uiPriority w:val="99"/>
    <w:semiHidden/>
    <w:unhideWhenUsed/>
    <w:rsid w:val="00A53D91"/>
    <w:pPr>
      <w:spacing w:line="240" w:lineRule="auto"/>
    </w:pPr>
  </w:style>
  <w:style w:type="character" w:customStyle="1" w:styleId="CommentTextChar">
    <w:name w:val="Comment Text Char"/>
    <w:basedOn w:val="DefaultParagraphFont"/>
    <w:link w:val="CommentText"/>
    <w:uiPriority w:val="99"/>
    <w:semiHidden/>
    <w:rsid w:val="00A53D91"/>
  </w:style>
  <w:style w:type="character" w:styleId="CommentReference">
    <w:name w:val="annotation reference"/>
    <w:basedOn w:val="DefaultParagraphFont"/>
    <w:uiPriority w:val="99"/>
    <w:semiHidden/>
    <w:unhideWhenUsed/>
    <w:rsid w:val="00A53D91"/>
    <w:rPr>
      <w:sz w:val="16"/>
      <w:szCs w:val="16"/>
    </w:rPr>
  </w:style>
  <w:style w:type="character" w:customStyle="1" w:styleId="CommentSubjectChar">
    <w:name w:val="Comment Subject Char"/>
    <w:basedOn w:val="CommentTextChar"/>
    <w:link w:val="CommentSubject"/>
    <w:uiPriority w:val="99"/>
    <w:semiHidden/>
    <w:rsid w:val="00DC606E"/>
    <w:rPr>
      <w:b/>
      <w:bCs/>
    </w:rPr>
  </w:style>
  <w:style w:type="paragraph" w:styleId="Revision">
    <w:name w:val="Revision"/>
    <w:hidden/>
    <w:uiPriority w:val="99"/>
    <w:semiHidden/>
    <w:rsid w:val="005C4224"/>
    <w:pPr>
      <w:spacing w:after="0" w:line="240" w:lineRule="auto"/>
      <w:jc w:val="left"/>
    </w:pPr>
  </w:style>
  <w:style w:type="paragraph" w:customStyle="1" w:styleId="p1">
    <w:name w:val="p1"/>
    <w:basedOn w:val="Normal"/>
    <w:rsid w:val="00F053BA"/>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636808"/>
    <w:pPr>
      <w:spacing w:after="0" w:line="240" w:lineRule="auto"/>
      <w:jc w:val="left"/>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1603"/>
    <w:rPr>
      <w:color w:val="467886" w:themeColor="hyperlink"/>
      <w:u w:val="single"/>
    </w:rPr>
  </w:style>
  <w:style w:type="character" w:styleId="UnresolvedMention">
    <w:name w:val="Unresolved Mention"/>
    <w:basedOn w:val="DefaultParagraphFont"/>
    <w:uiPriority w:val="99"/>
    <w:semiHidden/>
    <w:unhideWhenUsed/>
    <w:rsid w:val="00841603"/>
    <w:rPr>
      <w:color w:val="605E5C"/>
      <w:shd w:val="clear" w:color="auto" w:fill="E1DFDD"/>
    </w:rPr>
  </w:style>
  <w:style w:type="paragraph" w:customStyle="1" w:styleId="p2">
    <w:name w:val="p2"/>
    <w:basedOn w:val="Normal"/>
    <w:rsid w:val="0067110C"/>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3">
    <w:name w:val="p3"/>
    <w:basedOn w:val="Normal"/>
    <w:rsid w:val="0067110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s2">
    <w:name w:val="s2"/>
    <w:basedOn w:val="DefaultParagraphFont"/>
    <w:rsid w:val="0067110C"/>
  </w:style>
  <w:style w:type="character" w:customStyle="1" w:styleId="s3">
    <w:name w:val="s3"/>
    <w:basedOn w:val="DefaultParagraphFont"/>
    <w:rsid w:val="0067110C"/>
  </w:style>
  <w:style w:type="character" w:styleId="FollowedHyperlink">
    <w:name w:val="FollowedHyperlink"/>
    <w:basedOn w:val="DefaultParagraphFont"/>
    <w:uiPriority w:val="99"/>
    <w:semiHidden/>
    <w:unhideWhenUsed/>
    <w:rsid w:val="009379E6"/>
    <w:rPr>
      <w:color w:val="96607D" w:themeColor="followedHyperlink"/>
      <w:u w:val="single"/>
    </w:rPr>
  </w:style>
  <w:style w:type="character" w:customStyle="1" w:styleId="s1">
    <w:name w:val="s1"/>
    <w:basedOn w:val="DefaultParagraphFont"/>
    <w:rsid w:val="00F308F3"/>
  </w:style>
  <w:style w:type="character" w:customStyle="1" w:styleId="apple-converted-space">
    <w:name w:val="apple-converted-space"/>
    <w:basedOn w:val="DefaultParagraphFont"/>
    <w:rsid w:val="00F308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9057">
      <w:bodyDiv w:val="1"/>
      <w:marLeft w:val="0"/>
      <w:marRight w:val="0"/>
      <w:marTop w:val="0"/>
      <w:marBottom w:val="0"/>
      <w:divBdr>
        <w:top w:val="none" w:sz="0" w:space="0" w:color="auto"/>
        <w:left w:val="none" w:sz="0" w:space="0" w:color="auto"/>
        <w:bottom w:val="none" w:sz="0" w:space="0" w:color="auto"/>
        <w:right w:val="none" w:sz="0" w:space="0" w:color="auto"/>
      </w:divBdr>
    </w:div>
    <w:div w:id="52899001">
      <w:bodyDiv w:val="1"/>
      <w:marLeft w:val="0"/>
      <w:marRight w:val="0"/>
      <w:marTop w:val="0"/>
      <w:marBottom w:val="0"/>
      <w:divBdr>
        <w:top w:val="none" w:sz="0" w:space="0" w:color="auto"/>
        <w:left w:val="none" w:sz="0" w:space="0" w:color="auto"/>
        <w:bottom w:val="none" w:sz="0" w:space="0" w:color="auto"/>
        <w:right w:val="none" w:sz="0" w:space="0" w:color="auto"/>
      </w:divBdr>
    </w:div>
    <w:div w:id="105348613">
      <w:bodyDiv w:val="1"/>
      <w:marLeft w:val="0"/>
      <w:marRight w:val="0"/>
      <w:marTop w:val="0"/>
      <w:marBottom w:val="0"/>
      <w:divBdr>
        <w:top w:val="none" w:sz="0" w:space="0" w:color="auto"/>
        <w:left w:val="none" w:sz="0" w:space="0" w:color="auto"/>
        <w:bottom w:val="none" w:sz="0" w:space="0" w:color="auto"/>
        <w:right w:val="none" w:sz="0" w:space="0" w:color="auto"/>
      </w:divBdr>
      <w:divsChild>
        <w:div w:id="1413821817">
          <w:marLeft w:val="0"/>
          <w:marRight w:val="0"/>
          <w:marTop w:val="0"/>
          <w:marBottom w:val="0"/>
          <w:divBdr>
            <w:top w:val="none" w:sz="0" w:space="0" w:color="auto"/>
            <w:left w:val="none" w:sz="0" w:space="0" w:color="auto"/>
            <w:bottom w:val="none" w:sz="0" w:space="0" w:color="auto"/>
            <w:right w:val="none" w:sz="0" w:space="0" w:color="auto"/>
          </w:divBdr>
          <w:divsChild>
            <w:div w:id="1817183374">
              <w:marLeft w:val="0"/>
              <w:marRight w:val="0"/>
              <w:marTop w:val="0"/>
              <w:marBottom w:val="0"/>
              <w:divBdr>
                <w:top w:val="none" w:sz="0" w:space="0" w:color="auto"/>
                <w:left w:val="none" w:sz="0" w:space="0" w:color="auto"/>
                <w:bottom w:val="none" w:sz="0" w:space="0" w:color="auto"/>
                <w:right w:val="none" w:sz="0" w:space="0" w:color="auto"/>
              </w:divBdr>
              <w:divsChild>
                <w:div w:id="2066053955">
                  <w:marLeft w:val="0"/>
                  <w:marRight w:val="0"/>
                  <w:marTop w:val="0"/>
                  <w:marBottom w:val="0"/>
                  <w:divBdr>
                    <w:top w:val="none" w:sz="0" w:space="0" w:color="auto"/>
                    <w:left w:val="none" w:sz="0" w:space="0" w:color="auto"/>
                    <w:bottom w:val="none" w:sz="0" w:space="0" w:color="auto"/>
                    <w:right w:val="none" w:sz="0" w:space="0" w:color="auto"/>
                  </w:divBdr>
                  <w:divsChild>
                    <w:div w:id="685642082">
                      <w:marLeft w:val="0"/>
                      <w:marRight w:val="0"/>
                      <w:marTop w:val="0"/>
                      <w:marBottom w:val="0"/>
                      <w:divBdr>
                        <w:top w:val="none" w:sz="0" w:space="0" w:color="auto"/>
                        <w:left w:val="none" w:sz="0" w:space="0" w:color="auto"/>
                        <w:bottom w:val="none" w:sz="0" w:space="0" w:color="auto"/>
                        <w:right w:val="none" w:sz="0" w:space="0" w:color="auto"/>
                      </w:divBdr>
                      <w:divsChild>
                        <w:div w:id="662514252">
                          <w:marLeft w:val="0"/>
                          <w:marRight w:val="0"/>
                          <w:marTop w:val="0"/>
                          <w:marBottom w:val="0"/>
                          <w:divBdr>
                            <w:top w:val="none" w:sz="0" w:space="0" w:color="auto"/>
                            <w:left w:val="none" w:sz="0" w:space="0" w:color="auto"/>
                            <w:bottom w:val="none" w:sz="0" w:space="0" w:color="auto"/>
                            <w:right w:val="none" w:sz="0" w:space="0" w:color="auto"/>
                          </w:divBdr>
                          <w:divsChild>
                            <w:div w:id="833954449">
                              <w:marLeft w:val="0"/>
                              <w:marRight w:val="0"/>
                              <w:marTop w:val="0"/>
                              <w:marBottom w:val="0"/>
                              <w:divBdr>
                                <w:top w:val="none" w:sz="0" w:space="0" w:color="auto"/>
                                <w:left w:val="none" w:sz="0" w:space="0" w:color="auto"/>
                                <w:bottom w:val="none" w:sz="0" w:space="0" w:color="auto"/>
                                <w:right w:val="none" w:sz="0" w:space="0" w:color="auto"/>
                              </w:divBdr>
                              <w:divsChild>
                                <w:div w:id="1383214835">
                                  <w:marLeft w:val="0"/>
                                  <w:marRight w:val="0"/>
                                  <w:marTop w:val="0"/>
                                  <w:marBottom w:val="0"/>
                                  <w:divBdr>
                                    <w:top w:val="none" w:sz="0" w:space="0" w:color="auto"/>
                                    <w:left w:val="none" w:sz="0" w:space="0" w:color="auto"/>
                                    <w:bottom w:val="none" w:sz="0" w:space="0" w:color="auto"/>
                                    <w:right w:val="none" w:sz="0" w:space="0" w:color="auto"/>
                                  </w:divBdr>
                                  <w:divsChild>
                                    <w:div w:id="11217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66910">
                          <w:marLeft w:val="0"/>
                          <w:marRight w:val="0"/>
                          <w:marTop w:val="0"/>
                          <w:marBottom w:val="0"/>
                          <w:divBdr>
                            <w:top w:val="none" w:sz="0" w:space="0" w:color="auto"/>
                            <w:left w:val="none" w:sz="0" w:space="0" w:color="auto"/>
                            <w:bottom w:val="none" w:sz="0" w:space="0" w:color="auto"/>
                            <w:right w:val="none" w:sz="0" w:space="0" w:color="auto"/>
                          </w:divBdr>
                          <w:divsChild>
                            <w:div w:id="924803624">
                              <w:marLeft w:val="0"/>
                              <w:marRight w:val="0"/>
                              <w:marTop w:val="0"/>
                              <w:marBottom w:val="0"/>
                              <w:divBdr>
                                <w:top w:val="none" w:sz="0" w:space="0" w:color="auto"/>
                                <w:left w:val="none" w:sz="0" w:space="0" w:color="auto"/>
                                <w:bottom w:val="none" w:sz="0" w:space="0" w:color="auto"/>
                                <w:right w:val="none" w:sz="0" w:space="0" w:color="auto"/>
                              </w:divBdr>
                              <w:divsChild>
                                <w:div w:id="10202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75386805">
      <w:bodyDiv w:val="1"/>
      <w:marLeft w:val="0"/>
      <w:marRight w:val="0"/>
      <w:marTop w:val="0"/>
      <w:marBottom w:val="0"/>
      <w:divBdr>
        <w:top w:val="none" w:sz="0" w:space="0" w:color="auto"/>
        <w:left w:val="none" w:sz="0" w:space="0" w:color="auto"/>
        <w:bottom w:val="none" w:sz="0" w:space="0" w:color="auto"/>
        <w:right w:val="none" w:sz="0" w:space="0" w:color="auto"/>
      </w:divBdr>
    </w:div>
    <w:div w:id="181942077">
      <w:bodyDiv w:val="1"/>
      <w:marLeft w:val="0"/>
      <w:marRight w:val="0"/>
      <w:marTop w:val="0"/>
      <w:marBottom w:val="0"/>
      <w:divBdr>
        <w:top w:val="none" w:sz="0" w:space="0" w:color="auto"/>
        <w:left w:val="none" w:sz="0" w:space="0" w:color="auto"/>
        <w:bottom w:val="none" w:sz="0" w:space="0" w:color="auto"/>
        <w:right w:val="none" w:sz="0" w:space="0" w:color="auto"/>
      </w:divBdr>
    </w:div>
    <w:div w:id="185750406">
      <w:bodyDiv w:val="1"/>
      <w:marLeft w:val="0"/>
      <w:marRight w:val="0"/>
      <w:marTop w:val="0"/>
      <w:marBottom w:val="0"/>
      <w:divBdr>
        <w:top w:val="none" w:sz="0" w:space="0" w:color="auto"/>
        <w:left w:val="none" w:sz="0" w:space="0" w:color="auto"/>
        <w:bottom w:val="none" w:sz="0" w:space="0" w:color="auto"/>
        <w:right w:val="none" w:sz="0" w:space="0" w:color="auto"/>
      </w:divBdr>
    </w:div>
    <w:div w:id="266037989">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95766385">
      <w:bodyDiv w:val="1"/>
      <w:marLeft w:val="0"/>
      <w:marRight w:val="0"/>
      <w:marTop w:val="0"/>
      <w:marBottom w:val="0"/>
      <w:divBdr>
        <w:top w:val="none" w:sz="0" w:space="0" w:color="auto"/>
        <w:left w:val="none" w:sz="0" w:space="0" w:color="auto"/>
        <w:bottom w:val="none" w:sz="0" w:space="0" w:color="auto"/>
        <w:right w:val="none" w:sz="0" w:space="0" w:color="auto"/>
      </w:divBdr>
    </w:div>
    <w:div w:id="296379332">
      <w:bodyDiv w:val="1"/>
      <w:marLeft w:val="0"/>
      <w:marRight w:val="0"/>
      <w:marTop w:val="0"/>
      <w:marBottom w:val="0"/>
      <w:divBdr>
        <w:top w:val="none" w:sz="0" w:space="0" w:color="auto"/>
        <w:left w:val="none" w:sz="0" w:space="0" w:color="auto"/>
        <w:bottom w:val="none" w:sz="0" w:space="0" w:color="auto"/>
        <w:right w:val="none" w:sz="0" w:space="0" w:color="auto"/>
      </w:divBdr>
    </w:div>
    <w:div w:id="303850178">
      <w:bodyDiv w:val="1"/>
      <w:marLeft w:val="0"/>
      <w:marRight w:val="0"/>
      <w:marTop w:val="0"/>
      <w:marBottom w:val="0"/>
      <w:divBdr>
        <w:top w:val="none" w:sz="0" w:space="0" w:color="auto"/>
        <w:left w:val="none" w:sz="0" w:space="0" w:color="auto"/>
        <w:bottom w:val="none" w:sz="0" w:space="0" w:color="auto"/>
        <w:right w:val="none" w:sz="0" w:space="0" w:color="auto"/>
      </w:divBdr>
    </w:div>
    <w:div w:id="311760569">
      <w:bodyDiv w:val="1"/>
      <w:marLeft w:val="0"/>
      <w:marRight w:val="0"/>
      <w:marTop w:val="0"/>
      <w:marBottom w:val="0"/>
      <w:divBdr>
        <w:top w:val="none" w:sz="0" w:space="0" w:color="auto"/>
        <w:left w:val="none" w:sz="0" w:space="0" w:color="auto"/>
        <w:bottom w:val="none" w:sz="0" w:space="0" w:color="auto"/>
        <w:right w:val="none" w:sz="0" w:space="0" w:color="auto"/>
      </w:divBdr>
    </w:div>
    <w:div w:id="331488266">
      <w:bodyDiv w:val="1"/>
      <w:marLeft w:val="0"/>
      <w:marRight w:val="0"/>
      <w:marTop w:val="0"/>
      <w:marBottom w:val="0"/>
      <w:divBdr>
        <w:top w:val="none" w:sz="0" w:space="0" w:color="auto"/>
        <w:left w:val="none" w:sz="0" w:space="0" w:color="auto"/>
        <w:bottom w:val="none" w:sz="0" w:space="0" w:color="auto"/>
        <w:right w:val="none" w:sz="0" w:space="0" w:color="auto"/>
      </w:divBdr>
    </w:div>
    <w:div w:id="331760835">
      <w:bodyDiv w:val="1"/>
      <w:marLeft w:val="0"/>
      <w:marRight w:val="0"/>
      <w:marTop w:val="0"/>
      <w:marBottom w:val="0"/>
      <w:divBdr>
        <w:top w:val="none" w:sz="0" w:space="0" w:color="auto"/>
        <w:left w:val="none" w:sz="0" w:space="0" w:color="auto"/>
        <w:bottom w:val="none" w:sz="0" w:space="0" w:color="auto"/>
        <w:right w:val="none" w:sz="0" w:space="0" w:color="auto"/>
      </w:divBdr>
    </w:div>
    <w:div w:id="332538200">
      <w:bodyDiv w:val="1"/>
      <w:marLeft w:val="0"/>
      <w:marRight w:val="0"/>
      <w:marTop w:val="0"/>
      <w:marBottom w:val="0"/>
      <w:divBdr>
        <w:top w:val="none" w:sz="0" w:space="0" w:color="auto"/>
        <w:left w:val="none" w:sz="0" w:space="0" w:color="auto"/>
        <w:bottom w:val="none" w:sz="0" w:space="0" w:color="auto"/>
        <w:right w:val="none" w:sz="0" w:space="0" w:color="auto"/>
      </w:divBdr>
    </w:div>
    <w:div w:id="340203623">
      <w:bodyDiv w:val="1"/>
      <w:marLeft w:val="0"/>
      <w:marRight w:val="0"/>
      <w:marTop w:val="0"/>
      <w:marBottom w:val="0"/>
      <w:divBdr>
        <w:top w:val="none" w:sz="0" w:space="0" w:color="auto"/>
        <w:left w:val="none" w:sz="0" w:space="0" w:color="auto"/>
        <w:bottom w:val="none" w:sz="0" w:space="0" w:color="auto"/>
        <w:right w:val="none" w:sz="0" w:space="0" w:color="auto"/>
      </w:divBdr>
      <w:divsChild>
        <w:div w:id="402218468">
          <w:marLeft w:val="0"/>
          <w:marRight w:val="0"/>
          <w:marTop w:val="0"/>
          <w:marBottom w:val="75"/>
          <w:divBdr>
            <w:top w:val="none" w:sz="0" w:space="0" w:color="auto"/>
            <w:left w:val="none" w:sz="0" w:space="0" w:color="auto"/>
            <w:bottom w:val="none" w:sz="0" w:space="0" w:color="auto"/>
            <w:right w:val="none" w:sz="0" w:space="0" w:color="auto"/>
          </w:divBdr>
          <w:divsChild>
            <w:div w:id="1085418947">
              <w:marLeft w:val="0"/>
              <w:marRight w:val="0"/>
              <w:marTop w:val="0"/>
              <w:marBottom w:val="0"/>
              <w:divBdr>
                <w:top w:val="none" w:sz="0" w:space="0" w:color="auto"/>
                <w:left w:val="none" w:sz="0" w:space="0" w:color="auto"/>
                <w:bottom w:val="none" w:sz="0" w:space="0" w:color="auto"/>
                <w:right w:val="none" w:sz="0" w:space="0" w:color="auto"/>
              </w:divBdr>
            </w:div>
            <w:div w:id="12213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9800">
      <w:bodyDiv w:val="1"/>
      <w:marLeft w:val="0"/>
      <w:marRight w:val="0"/>
      <w:marTop w:val="0"/>
      <w:marBottom w:val="0"/>
      <w:divBdr>
        <w:top w:val="none" w:sz="0" w:space="0" w:color="auto"/>
        <w:left w:val="none" w:sz="0" w:space="0" w:color="auto"/>
        <w:bottom w:val="none" w:sz="0" w:space="0" w:color="auto"/>
        <w:right w:val="none" w:sz="0" w:space="0" w:color="auto"/>
      </w:divBdr>
    </w:div>
    <w:div w:id="375980060">
      <w:bodyDiv w:val="1"/>
      <w:marLeft w:val="0"/>
      <w:marRight w:val="0"/>
      <w:marTop w:val="0"/>
      <w:marBottom w:val="0"/>
      <w:divBdr>
        <w:top w:val="none" w:sz="0" w:space="0" w:color="auto"/>
        <w:left w:val="none" w:sz="0" w:space="0" w:color="auto"/>
        <w:bottom w:val="none" w:sz="0" w:space="0" w:color="auto"/>
        <w:right w:val="none" w:sz="0" w:space="0" w:color="auto"/>
      </w:divBdr>
    </w:div>
    <w:div w:id="390034331">
      <w:bodyDiv w:val="1"/>
      <w:marLeft w:val="0"/>
      <w:marRight w:val="0"/>
      <w:marTop w:val="0"/>
      <w:marBottom w:val="0"/>
      <w:divBdr>
        <w:top w:val="none" w:sz="0" w:space="0" w:color="auto"/>
        <w:left w:val="none" w:sz="0" w:space="0" w:color="auto"/>
        <w:bottom w:val="none" w:sz="0" w:space="0" w:color="auto"/>
        <w:right w:val="none" w:sz="0" w:space="0" w:color="auto"/>
      </w:divBdr>
    </w:div>
    <w:div w:id="392042728">
      <w:bodyDiv w:val="1"/>
      <w:marLeft w:val="0"/>
      <w:marRight w:val="0"/>
      <w:marTop w:val="0"/>
      <w:marBottom w:val="0"/>
      <w:divBdr>
        <w:top w:val="none" w:sz="0" w:space="0" w:color="auto"/>
        <w:left w:val="none" w:sz="0" w:space="0" w:color="auto"/>
        <w:bottom w:val="none" w:sz="0" w:space="0" w:color="auto"/>
        <w:right w:val="none" w:sz="0" w:space="0" w:color="auto"/>
      </w:divBdr>
      <w:divsChild>
        <w:div w:id="75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715915">
      <w:bodyDiv w:val="1"/>
      <w:marLeft w:val="0"/>
      <w:marRight w:val="0"/>
      <w:marTop w:val="0"/>
      <w:marBottom w:val="0"/>
      <w:divBdr>
        <w:top w:val="none" w:sz="0" w:space="0" w:color="auto"/>
        <w:left w:val="none" w:sz="0" w:space="0" w:color="auto"/>
        <w:bottom w:val="none" w:sz="0" w:space="0" w:color="auto"/>
        <w:right w:val="none" w:sz="0" w:space="0" w:color="auto"/>
      </w:divBdr>
    </w:div>
    <w:div w:id="415245836">
      <w:bodyDiv w:val="1"/>
      <w:marLeft w:val="0"/>
      <w:marRight w:val="0"/>
      <w:marTop w:val="0"/>
      <w:marBottom w:val="0"/>
      <w:divBdr>
        <w:top w:val="none" w:sz="0" w:space="0" w:color="auto"/>
        <w:left w:val="none" w:sz="0" w:space="0" w:color="auto"/>
        <w:bottom w:val="none" w:sz="0" w:space="0" w:color="auto"/>
        <w:right w:val="none" w:sz="0" w:space="0" w:color="auto"/>
      </w:divBdr>
    </w:div>
    <w:div w:id="423693521">
      <w:bodyDiv w:val="1"/>
      <w:marLeft w:val="0"/>
      <w:marRight w:val="0"/>
      <w:marTop w:val="0"/>
      <w:marBottom w:val="0"/>
      <w:divBdr>
        <w:top w:val="none" w:sz="0" w:space="0" w:color="auto"/>
        <w:left w:val="none" w:sz="0" w:space="0" w:color="auto"/>
        <w:bottom w:val="none" w:sz="0" w:space="0" w:color="auto"/>
        <w:right w:val="none" w:sz="0" w:space="0" w:color="auto"/>
      </w:divBdr>
      <w:divsChild>
        <w:div w:id="1457792193">
          <w:marLeft w:val="0"/>
          <w:marRight w:val="0"/>
          <w:marTop w:val="0"/>
          <w:marBottom w:val="0"/>
          <w:divBdr>
            <w:top w:val="none" w:sz="0" w:space="0" w:color="auto"/>
            <w:left w:val="none" w:sz="0" w:space="0" w:color="auto"/>
            <w:bottom w:val="none" w:sz="0" w:space="0" w:color="auto"/>
            <w:right w:val="none" w:sz="0" w:space="0" w:color="auto"/>
          </w:divBdr>
          <w:divsChild>
            <w:div w:id="330105555">
              <w:marLeft w:val="0"/>
              <w:marRight w:val="0"/>
              <w:marTop w:val="0"/>
              <w:marBottom w:val="0"/>
              <w:divBdr>
                <w:top w:val="none" w:sz="0" w:space="0" w:color="auto"/>
                <w:left w:val="none" w:sz="0" w:space="0" w:color="auto"/>
                <w:bottom w:val="none" w:sz="0" w:space="0" w:color="auto"/>
                <w:right w:val="none" w:sz="0" w:space="0" w:color="auto"/>
              </w:divBdr>
              <w:divsChild>
                <w:div w:id="857544873">
                  <w:marLeft w:val="0"/>
                  <w:marRight w:val="0"/>
                  <w:marTop w:val="0"/>
                  <w:marBottom w:val="0"/>
                  <w:divBdr>
                    <w:top w:val="none" w:sz="0" w:space="0" w:color="auto"/>
                    <w:left w:val="none" w:sz="0" w:space="0" w:color="auto"/>
                    <w:bottom w:val="none" w:sz="0" w:space="0" w:color="auto"/>
                    <w:right w:val="none" w:sz="0" w:space="0" w:color="auto"/>
                  </w:divBdr>
                  <w:divsChild>
                    <w:div w:id="1426996029">
                      <w:marLeft w:val="0"/>
                      <w:marRight w:val="0"/>
                      <w:marTop w:val="0"/>
                      <w:marBottom w:val="0"/>
                      <w:divBdr>
                        <w:top w:val="none" w:sz="0" w:space="0" w:color="auto"/>
                        <w:left w:val="none" w:sz="0" w:space="0" w:color="auto"/>
                        <w:bottom w:val="none" w:sz="0" w:space="0" w:color="auto"/>
                        <w:right w:val="none" w:sz="0" w:space="0" w:color="auto"/>
                      </w:divBdr>
                      <w:divsChild>
                        <w:div w:id="596643104">
                          <w:marLeft w:val="0"/>
                          <w:marRight w:val="0"/>
                          <w:marTop w:val="0"/>
                          <w:marBottom w:val="0"/>
                          <w:divBdr>
                            <w:top w:val="none" w:sz="0" w:space="0" w:color="auto"/>
                            <w:left w:val="none" w:sz="0" w:space="0" w:color="auto"/>
                            <w:bottom w:val="none" w:sz="0" w:space="0" w:color="auto"/>
                            <w:right w:val="none" w:sz="0" w:space="0" w:color="auto"/>
                          </w:divBdr>
                          <w:divsChild>
                            <w:div w:id="1593079273">
                              <w:marLeft w:val="0"/>
                              <w:marRight w:val="0"/>
                              <w:marTop w:val="0"/>
                              <w:marBottom w:val="0"/>
                              <w:divBdr>
                                <w:top w:val="none" w:sz="0" w:space="0" w:color="auto"/>
                                <w:left w:val="none" w:sz="0" w:space="0" w:color="auto"/>
                                <w:bottom w:val="none" w:sz="0" w:space="0" w:color="auto"/>
                                <w:right w:val="none" w:sz="0" w:space="0" w:color="auto"/>
                              </w:divBdr>
                              <w:divsChild>
                                <w:div w:id="1952660140">
                                  <w:marLeft w:val="0"/>
                                  <w:marRight w:val="0"/>
                                  <w:marTop w:val="0"/>
                                  <w:marBottom w:val="0"/>
                                  <w:divBdr>
                                    <w:top w:val="none" w:sz="0" w:space="0" w:color="auto"/>
                                    <w:left w:val="none" w:sz="0" w:space="0" w:color="auto"/>
                                    <w:bottom w:val="none" w:sz="0" w:space="0" w:color="auto"/>
                                    <w:right w:val="none" w:sz="0" w:space="0" w:color="auto"/>
                                  </w:divBdr>
                                  <w:divsChild>
                                    <w:div w:id="5253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9281">
                          <w:marLeft w:val="0"/>
                          <w:marRight w:val="0"/>
                          <w:marTop w:val="0"/>
                          <w:marBottom w:val="0"/>
                          <w:divBdr>
                            <w:top w:val="none" w:sz="0" w:space="0" w:color="auto"/>
                            <w:left w:val="none" w:sz="0" w:space="0" w:color="auto"/>
                            <w:bottom w:val="none" w:sz="0" w:space="0" w:color="auto"/>
                            <w:right w:val="none" w:sz="0" w:space="0" w:color="auto"/>
                          </w:divBdr>
                          <w:divsChild>
                            <w:div w:id="1234508904">
                              <w:marLeft w:val="0"/>
                              <w:marRight w:val="0"/>
                              <w:marTop w:val="0"/>
                              <w:marBottom w:val="0"/>
                              <w:divBdr>
                                <w:top w:val="none" w:sz="0" w:space="0" w:color="auto"/>
                                <w:left w:val="none" w:sz="0" w:space="0" w:color="auto"/>
                                <w:bottom w:val="none" w:sz="0" w:space="0" w:color="auto"/>
                                <w:right w:val="none" w:sz="0" w:space="0" w:color="auto"/>
                              </w:divBdr>
                              <w:divsChild>
                                <w:div w:id="5403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27852">
      <w:bodyDiv w:val="1"/>
      <w:marLeft w:val="0"/>
      <w:marRight w:val="0"/>
      <w:marTop w:val="0"/>
      <w:marBottom w:val="0"/>
      <w:divBdr>
        <w:top w:val="none" w:sz="0" w:space="0" w:color="auto"/>
        <w:left w:val="none" w:sz="0" w:space="0" w:color="auto"/>
        <w:bottom w:val="none" w:sz="0" w:space="0" w:color="auto"/>
        <w:right w:val="none" w:sz="0" w:space="0" w:color="auto"/>
      </w:divBdr>
    </w:div>
    <w:div w:id="431169533">
      <w:bodyDiv w:val="1"/>
      <w:marLeft w:val="0"/>
      <w:marRight w:val="0"/>
      <w:marTop w:val="0"/>
      <w:marBottom w:val="0"/>
      <w:divBdr>
        <w:top w:val="none" w:sz="0" w:space="0" w:color="auto"/>
        <w:left w:val="none" w:sz="0" w:space="0" w:color="auto"/>
        <w:bottom w:val="none" w:sz="0" w:space="0" w:color="auto"/>
        <w:right w:val="none" w:sz="0" w:space="0" w:color="auto"/>
      </w:divBdr>
      <w:divsChild>
        <w:div w:id="1135637096">
          <w:marLeft w:val="0"/>
          <w:marRight w:val="0"/>
          <w:marTop w:val="0"/>
          <w:marBottom w:val="0"/>
          <w:divBdr>
            <w:top w:val="none" w:sz="0" w:space="0" w:color="auto"/>
            <w:left w:val="none" w:sz="0" w:space="0" w:color="auto"/>
            <w:bottom w:val="none" w:sz="0" w:space="0" w:color="auto"/>
            <w:right w:val="none" w:sz="0" w:space="0" w:color="auto"/>
          </w:divBdr>
          <w:divsChild>
            <w:div w:id="1965960087">
              <w:marLeft w:val="0"/>
              <w:marRight w:val="0"/>
              <w:marTop w:val="0"/>
              <w:marBottom w:val="0"/>
              <w:divBdr>
                <w:top w:val="none" w:sz="0" w:space="0" w:color="auto"/>
                <w:left w:val="none" w:sz="0" w:space="0" w:color="auto"/>
                <w:bottom w:val="none" w:sz="0" w:space="0" w:color="auto"/>
                <w:right w:val="none" w:sz="0" w:space="0" w:color="auto"/>
              </w:divBdr>
              <w:divsChild>
                <w:div w:id="1426145047">
                  <w:marLeft w:val="0"/>
                  <w:marRight w:val="0"/>
                  <w:marTop w:val="0"/>
                  <w:marBottom w:val="0"/>
                  <w:divBdr>
                    <w:top w:val="none" w:sz="0" w:space="0" w:color="auto"/>
                    <w:left w:val="none" w:sz="0" w:space="0" w:color="auto"/>
                    <w:bottom w:val="none" w:sz="0" w:space="0" w:color="auto"/>
                    <w:right w:val="none" w:sz="0" w:space="0" w:color="auto"/>
                  </w:divBdr>
                  <w:divsChild>
                    <w:div w:id="616836428">
                      <w:marLeft w:val="0"/>
                      <w:marRight w:val="0"/>
                      <w:marTop w:val="0"/>
                      <w:marBottom w:val="0"/>
                      <w:divBdr>
                        <w:top w:val="none" w:sz="0" w:space="0" w:color="auto"/>
                        <w:left w:val="none" w:sz="0" w:space="0" w:color="auto"/>
                        <w:bottom w:val="none" w:sz="0" w:space="0" w:color="auto"/>
                        <w:right w:val="none" w:sz="0" w:space="0" w:color="auto"/>
                      </w:divBdr>
                      <w:divsChild>
                        <w:div w:id="261182363">
                          <w:marLeft w:val="0"/>
                          <w:marRight w:val="0"/>
                          <w:marTop w:val="0"/>
                          <w:marBottom w:val="0"/>
                          <w:divBdr>
                            <w:top w:val="none" w:sz="0" w:space="0" w:color="auto"/>
                            <w:left w:val="none" w:sz="0" w:space="0" w:color="auto"/>
                            <w:bottom w:val="none" w:sz="0" w:space="0" w:color="auto"/>
                            <w:right w:val="none" w:sz="0" w:space="0" w:color="auto"/>
                          </w:divBdr>
                          <w:divsChild>
                            <w:div w:id="886910436">
                              <w:marLeft w:val="0"/>
                              <w:marRight w:val="0"/>
                              <w:marTop w:val="0"/>
                              <w:marBottom w:val="0"/>
                              <w:divBdr>
                                <w:top w:val="none" w:sz="0" w:space="0" w:color="auto"/>
                                <w:left w:val="none" w:sz="0" w:space="0" w:color="auto"/>
                                <w:bottom w:val="none" w:sz="0" w:space="0" w:color="auto"/>
                                <w:right w:val="none" w:sz="0" w:space="0" w:color="auto"/>
                              </w:divBdr>
                              <w:divsChild>
                                <w:div w:id="874849237">
                                  <w:marLeft w:val="0"/>
                                  <w:marRight w:val="0"/>
                                  <w:marTop w:val="0"/>
                                  <w:marBottom w:val="0"/>
                                  <w:divBdr>
                                    <w:top w:val="none" w:sz="0" w:space="0" w:color="auto"/>
                                    <w:left w:val="none" w:sz="0" w:space="0" w:color="auto"/>
                                    <w:bottom w:val="none" w:sz="0" w:space="0" w:color="auto"/>
                                    <w:right w:val="none" w:sz="0" w:space="0" w:color="auto"/>
                                  </w:divBdr>
                                  <w:divsChild>
                                    <w:div w:id="116752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0800">
                          <w:marLeft w:val="0"/>
                          <w:marRight w:val="0"/>
                          <w:marTop w:val="0"/>
                          <w:marBottom w:val="0"/>
                          <w:divBdr>
                            <w:top w:val="none" w:sz="0" w:space="0" w:color="auto"/>
                            <w:left w:val="none" w:sz="0" w:space="0" w:color="auto"/>
                            <w:bottom w:val="none" w:sz="0" w:space="0" w:color="auto"/>
                            <w:right w:val="none" w:sz="0" w:space="0" w:color="auto"/>
                          </w:divBdr>
                          <w:divsChild>
                            <w:div w:id="1587878238">
                              <w:marLeft w:val="0"/>
                              <w:marRight w:val="0"/>
                              <w:marTop w:val="0"/>
                              <w:marBottom w:val="0"/>
                              <w:divBdr>
                                <w:top w:val="none" w:sz="0" w:space="0" w:color="auto"/>
                                <w:left w:val="none" w:sz="0" w:space="0" w:color="auto"/>
                                <w:bottom w:val="none" w:sz="0" w:space="0" w:color="auto"/>
                                <w:right w:val="none" w:sz="0" w:space="0" w:color="auto"/>
                              </w:divBdr>
                              <w:divsChild>
                                <w:div w:id="1963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3740598">
      <w:bodyDiv w:val="1"/>
      <w:marLeft w:val="0"/>
      <w:marRight w:val="0"/>
      <w:marTop w:val="0"/>
      <w:marBottom w:val="0"/>
      <w:divBdr>
        <w:top w:val="none" w:sz="0" w:space="0" w:color="auto"/>
        <w:left w:val="none" w:sz="0" w:space="0" w:color="auto"/>
        <w:bottom w:val="none" w:sz="0" w:space="0" w:color="auto"/>
        <w:right w:val="none" w:sz="0" w:space="0" w:color="auto"/>
      </w:divBdr>
    </w:div>
    <w:div w:id="481237743">
      <w:bodyDiv w:val="1"/>
      <w:marLeft w:val="0"/>
      <w:marRight w:val="0"/>
      <w:marTop w:val="0"/>
      <w:marBottom w:val="0"/>
      <w:divBdr>
        <w:top w:val="none" w:sz="0" w:space="0" w:color="auto"/>
        <w:left w:val="none" w:sz="0" w:space="0" w:color="auto"/>
        <w:bottom w:val="none" w:sz="0" w:space="0" w:color="auto"/>
        <w:right w:val="none" w:sz="0" w:space="0" w:color="auto"/>
      </w:divBdr>
    </w:div>
    <w:div w:id="498543755">
      <w:bodyDiv w:val="1"/>
      <w:marLeft w:val="0"/>
      <w:marRight w:val="0"/>
      <w:marTop w:val="0"/>
      <w:marBottom w:val="0"/>
      <w:divBdr>
        <w:top w:val="none" w:sz="0" w:space="0" w:color="auto"/>
        <w:left w:val="none" w:sz="0" w:space="0" w:color="auto"/>
        <w:bottom w:val="none" w:sz="0" w:space="0" w:color="auto"/>
        <w:right w:val="none" w:sz="0" w:space="0" w:color="auto"/>
      </w:divBdr>
    </w:div>
    <w:div w:id="499662894">
      <w:bodyDiv w:val="1"/>
      <w:marLeft w:val="0"/>
      <w:marRight w:val="0"/>
      <w:marTop w:val="0"/>
      <w:marBottom w:val="0"/>
      <w:divBdr>
        <w:top w:val="none" w:sz="0" w:space="0" w:color="auto"/>
        <w:left w:val="none" w:sz="0" w:space="0" w:color="auto"/>
        <w:bottom w:val="none" w:sz="0" w:space="0" w:color="auto"/>
        <w:right w:val="none" w:sz="0" w:space="0" w:color="auto"/>
      </w:divBdr>
    </w:div>
    <w:div w:id="500006144">
      <w:bodyDiv w:val="1"/>
      <w:marLeft w:val="0"/>
      <w:marRight w:val="0"/>
      <w:marTop w:val="0"/>
      <w:marBottom w:val="0"/>
      <w:divBdr>
        <w:top w:val="none" w:sz="0" w:space="0" w:color="auto"/>
        <w:left w:val="none" w:sz="0" w:space="0" w:color="auto"/>
        <w:bottom w:val="none" w:sz="0" w:space="0" w:color="auto"/>
        <w:right w:val="none" w:sz="0" w:space="0" w:color="auto"/>
      </w:divBdr>
    </w:div>
    <w:div w:id="509875285">
      <w:bodyDiv w:val="1"/>
      <w:marLeft w:val="0"/>
      <w:marRight w:val="0"/>
      <w:marTop w:val="0"/>
      <w:marBottom w:val="0"/>
      <w:divBdr>
        <w:top w:val="none" w:sz="0" w:space="0" w:color="auto"/>
        <w:left w:val="none" w:sz="0" w:space="0" w:color="auto"/>
        <w:bottom w:val="none" w:sz="0" w:space="0" w:color="auto"/>
        <w:right w:val="none" w:sz="0" w:space="0" w:color="auto"/>
      </w:divBdr>
    </w:div>
    <w:div w:id="563881699">
      <w:bodyDiv w:val="1"/>
      <w:marLeft w:val="0"/>
      <w:marRight w:val="0"/>
      <w:marTop w:val="0"/>
      <w:marBottom w:val="0"/>
      <w:divBdr>
        <w:top w:val="none" w:sz="0" w:space="0" w:color="auto"/>
        <w:left w:val="none" w:sz="0" w:space="0" w:color="auto"/>
        <w:bottom w:val="none" w:sz="0" w:space="0" w:color="auto"/>
        <w:right w:val="none" w:sz="0" w:space="0" w:color="auto"/>
      </w:divBdr>
    </w:div>
    <w:div w:id="564991149">
      <w:bodyDiv w:val="1"/>
      <w:marLeft w:val="0"/>
      <w:marRight w:val="0"/>
      <w:marTop w:val="0"/>
      <w:marBottom w:val="0"/>
      <w:divBdr>
        <w:top w:val="none" w:sz="0" w:space="0" w:color="auto"/>
        <w:left w:val="none" w:sz="0" w:space="0" w:color="auto"/>
        <w:bottom w:val="none" w:sz="0" w:space="0" w:color="auto"/>
        <w:right w:val="none" w:sz="0" w:space="0" w:color="auto"/>
      </w:divBdr>
    </w:div>
    <w:div w:id="574047387">
      <w:bodyDiv w:val="1"/>
      <w:marLeft w:val="0"/>
      <w:marRight w:val="0"/>
      <w:marTop w:val="0"/>
      <w:marBottom w:val="0"/>
      <w:divBdr>
        <w:top w:val="none" w:sz="0" w:space="0" w:color="auto"/>
        <w:left w:val="none" w:sz="0" w:space="0" w:color="auto"/>
        <w:bottom w:val="none" w:sz="0" w:space="0" w:color="auto"/>
        <w:right w:val="none" w:sz="0" w:space="0" w:color="auto"/>
      </w:divBdr>
    </w:div>
    <w:div w:id="575628574">
      <w:bodyDiv w:val="1"/>
      <w:marLeft w:val="0"/>
      <w:marRight w:val="0"/>
      <w:marTop w:val="0"/>
      <w:marBottom w:val="0"/>
      <w:divBdr>
        <w:top w:val="none" w:sz="0" w:space="0" w:color="auto"/>
        <w:left w:val="none" w:sz="0" w:space="0" w:color="auto"/>
        <w:bottom w:val="none" w:sz="0" w:space="0" w:color="auto"/>
        <w:right w:val="none" w:sz="0" w:space="0" w:color="auto"/>
      </w:divBdr>
    </w:div>
    <w:div w:id="618148856">
      <w:bodyDiv w:val="1"/>
      <w:marLeft w:val="0"/>
      <w:marRight w:val="0"/>
      <w:marTop w:val="0"/>
      <w:marBottom w:val="0"/>
      <w:divBdr>
        <w:top w:val="none" w:sz="0" w:space="0" w:color="auto"/>
        <w:left w:val="none" w:sz="0" w:space="0" w:color="auto"/>
        <w:bottom w:val="none" w:sz="0" w:space="0" w:color="auto"/>
        <w:right w:val="none" w:sz="0" w:space="0" w:color="auto"/>
      </w:divBdr>
    </w:div>
    <w:div w:id="620460739">
      <w:bodyDiv w:val="1"/>
      <w:marLeft w:val="0"/>
      <w:marRight w:val="0"/>
      <w:marTop w:val="0"/>
      <w:marBottom w:val="0"/>
      <w:divBdr>
        <w:top w:val="none" w:sz="0" w:space="0" w:color="auto"/>
        <w:left w:val="none" w:sz="0" w:space="0" w:color="auto"/>
        <w:bottom w:val="none" w:sz="0" w:space="0" w:color="auto"/>
        <w:right w:val="none" w:sz="0" w:space="0" w:color="auto"/>
      </w:divBdr>
    </w:div>
    <w:div w:id="622686892">
      <w:bodyDiv w:val="1"/>
      <w:marLeft w:val="0"/>
      <w:marRight w:val="0"/>
      <w:marTop w:val="0"/>
      <w:marBottom w:val="0"/>
      <w:divBdr>
        <w:top w:val="none" w:sz="0" w:space="0" w:color="auto"/>
        <w:left w:val="none" w:sz="0" w:space="0" w:color="auto"/>
        <w:bottom w:val="none" w:sz="0" w:space="0" w:color="auto"/>
        <w:right w:val="none" w:sz="0" w:space="0" w:color="auto"/>
      </w:divBdr>
    </w:div>
    <w:div w:id="624430741">
      <w:bodyDiv w:val="1"/>
      <w:marLeft w:val="0"/>
      <w:marRight w:val="0"/>
      <w:marTop w:val="0"/>
      <w:marBottom w:val="0"/>
      <w:divBdr>
        <w:top w:val="none" w:sz="0" w:space="0" w:color="auto"/>
        <w:left w:val="none" w:sz="0" w:space="0" w:color="auto"/>
        <w:bottom w:val="none" w:sz="0" w:space="0" w:color="auto"/>
        <w:right w:val="none" w:sz="0" w:space="0" w:color="auto"/>
      </w:divBdr>
    </w:div>
    <w:div w:id="632833812">
      <w:bodyDiv w:val="1"/>
      <w:marLeft w:val="0"/>
      <w:marRight w:val="0"/>
      <w:marTop w:val="0"/>
      <w:marBottom w:val="0"/>
      <w:divBdr>
        <w:top w:val="none" w:sz="0" w:space="0" w:color="auto"/>
        <w:left w:val="none" w:sz="0" w:space="0" w:color="auto"/>
        <w:bottom w:val="none" w:sz="0" w:space="0" w:color="auto"/>
        <w:right w:val="none" w:sz="0" w:space="0" w:color="auto"/>
      </w:divBdr>
    </w:div>
    <w:div w:id="657877673">
      <w:bodyDiv w:val="1"/>
      <w:marLeft w:val="0"/>
      <w:marRight w:val="0"/>
      <w:marTop w:val="0"/>
      <w:marBottom w:val="0"/>
      <w:divBdr>
        <w:top w:val="none" w:sz="0" w:space="0" w:color="auto"/>
        <w:left w:val="none" w:sz="0" w:space="0" w:color="auto"/>
        <w:bottom w:val="none" w:sz="0" w:space="0" w:color="auto"/>
        <w:right w:val="none" w:sz="0" w:space="0" w:color="auto"/>
      </w:divBdr>
    </w:div>
    <w:div w:id="678848430">
      <w:bodyDiv w:val="1"/>
      <w:marLeft w:val="0"/>
      <w:marRight w:val="0"/>
      <w:marTop w:val="0"/>
      <w:marBottom w:val="0"/>
      <w:divBdr>
        <w:top w:val="none" w:sz="0" w:space="0" w:color="auto"/>
        <w:left w:val="none" w:sz="0" w:space="0" w:color="auto"/>
        <w:bottom w:val="none" w:sz="0" w:space="0" w:color="auto"/>
        <w:right w:val="none" w:sz="0" w:space="0" w:color="auto"/>
      </w:divBdr>
    </w:div>
    <w:div w:id="688532021">
      <w:bodyDiv w:val="1"/>
      <w:marLeft w:val="0"/>
      <w:marRight w:val="0"/>
      <w:marTop w:val="0"/>
      <w:marBottom w:val="0"/>
      <w:divBdr>
        <w:top w:val="none" w:sz="0" w:space="0" w:color="auto"/>
        <w:left w:val="none" w:sz="0" w:space="0" w:color="auto"/>
        <w:bottom w:val="none" w:sz="0" w:space="0" w:color="auto"/>
        <w:right w:val="none" w:sz="0" w:space="0" w:color="auto"/>
      </w:divBdr>
    </w:div>
    <w:div w:id="697512078">
      <w:bodyDiv w:val="1"/>
      <w:marLeft w:val="0"/>
      <w:marRight w:val="0"/>
      <w:marTop w:val="0"/>
      <w:marBottom w:val="0"/>
      <w:divBdr>
        <w:top w:val="none" w:sz="0" w:space="0" w:color="auto"/>
        <w:left w:val="none" w:sz="0" w:space="0" w:color="auto"/>
        <w:bottom w:val="none" w:sz="0" w:space="0" w:color="auto"/>
        <w:right w:val="none" w:sz="0" w:space="0" w:color="auto"/>
      </w:divBdr>
    </w:div>
    <w:div w:id="718480398">
      <w:bodyDiv w:val="1"/>
      <w:marLeft w:val="0"/>
      <w:marRight w:val="0"/>
      <w:marTop w:val="0"/>
      <w:marBottom w:val="0"/>
      <w:divBdr>
        <w:top w:val="none" w:sz="0" w:space="0" w:color="auto"/>
        <w:left w:val="none" w:sz="0" w:space="0" w:color="auto"/>
        <w:bottom w:val="none" w:sz="0" w:space="0" w:color="auto"/>
        <w:right w:val="none" w:sz="0" w:space="0" w:color="auto"/>
      </w:divBdr>
    </w:div>
    <w:div w:id="725764503">
      <w:bodyDiv w:val="1"/>
      <w:marLeft w:val="0"/>
      <w:marRight w:val="0"/>
      <w:marTop w:val="0"/>
      <w:marBottom w:val="0"/>
      <w:divBdr>
        <w:top w:val="none" w:sz="0" w:space="0" w:color="auto"/>
        <w:left w:val="none" w:sz="0" w:space="0" w:color="auto"/>
        <w:bottom w:val="none" w:sz="0" w:space="0" w:color="auto"/>
        <w:right w:val="none" w:sz="0" w:space="0" w:color="auto"/>
      </w:divBdr>
    </w:div>
    <w:div w:id="726148726">
      <w:bodyDiv w:val="1"/>
      <w:marLeft w:val="0"/>
      <w:marRight w:val="0"/>
      <w:marTop w:val="0"/>
      <w:marBottom w:val="0"/>
      <w:divBdr>
        <w:top w:val="none" w:sz="0" w:space="0" w:color="auto"/>
        <w:left w:val="none" w:sz="0" w:space="0" w:color="auto"/>
        <w:bottom w:val="none" w:sz="0" w:space="0" w:color="auto"/>
        <w:right w:val="none" w:sz="0" w:space="0" w:color="auto"/>
      </w:divBdr>
    </w:div>
    <w:div w:id="732195938">
      <w:bodyDiv w:val="1"/>
      <w:marLeft w:val="0"/>
      <w:marRight w:val="0"/>
      <w:marTop w:val="0"/>
      <w:marBottom w:val="0"/>
      <w:divBdr>
        <w:top w:val="none" w:sz="0" w:space="0" w:color="auto"/>
        <w:left w:val="none" w:sz="0" w:space="0" w:color="auto"/>
        <w:bottom w:val="none" w:sz="0" w:space="0" w:color="auto"/>
        <w:right w:val="none" w:sz="0" w:space="0" w:color="auto"/>
      </w:divBdr>
    </w:div>
    <w:div w:id="735012581">
      <w:bodyDiv w:val="1"/>
      <w:marLeft w:val="0"/>
      <w:marRight w:val="0"/>
      <w:marTop w:val="0"/>
      <w:marBottom w:val="0"/>
      <w:divBdr>
        <w:top w:val="none" w:sz="0" w:space="0" w:color="auto"/>
        <w:left w:val="none" w:sz="0" w:space="0" w:color="auto"/>
        <w:bottom w:val="none" w:sz="0" w:space="0" w:color="auto"/>
        <w:right w:val="none" w:sz="0" w:space="0" w:color="auto"/>
      </w:divBdr>
      <w:divsChild>
        <w:div w:id="631786766">
          <w:marLeft w:val="0"/>
          <w:marRight w:val="0"/>
          <w:marTop w:val="180"/>
          <w:marBottom w:val="0"/>
          <w:divBdr>
            <w:top w:val="none" w:sz="0" w:space="0" w:color="auto"/>
            <w:left w:val="none" w:sz="0" w:space="0" w:color="auto"/>
            <w:bottom w:val="none" w:sz="0" w:space="0" w:color="auto"/>
            <w:right w:val="none" w:sz="0" w:space="0" w:color="auto"/>
          </w:divBdr>
        </w:div>
        <w:div w:id="1045254120">
          <w:marLeft w:val="0"/>
          <w:marRight w:val="0"/>
          <w:marTop w:val="0"/>
          <w:marBottom w:val="0"/>
          <w:divBdr>
            <w:top w:val="none" w:sz="0" w:space="0" w:color="auto"/>
            <w:left w:val="none" w:sz="0" w:space="0" w:color="auto"/>
            <w:bottom w:val="none" w:sz="0" w:space="0" w:color="auto"/>
            <w:right w:val="none" w:sz="0" w:space="0" w:color="auto"/>
          </w:divBdr>
        </w:div>
      </w:divsChild>
    </w:div>
    <w:div w:id="750127584">
      <w:bodyDiv w:val="1"/>
      <w:marLeft w:val="0"/>
      <w:marRight w:val="0"/>
      <w:marTop w:val="0"/>
      <w:marBottom w:val="0"/>
      <w:divBdr>
        <w:top w:val="none" w:sz="0" w:space="0" w:color="auto"/>
        <w:left w:val="none" w:sz="0" w:space="0" w:color="auto"/>
        <w:bottom w:val="none" w:sz="0" w:space="0" w:color="auto"/>
        <w:right w:val="none" w:sz="0" w:space="0" w:color="auto"/>
      </w:divBdr>
    </w:div>
    <w:div w:id="758252488">
      <w:bodyDiv w:val="1"/>
      <w:marLeft w:val="0"/>
      <w:marRight w:val="0"/>
      <w:marTop w:val="0"/>
      <w:marBottom w:val="0"/>
      <w:divBdr>
        <w:top w:val="none" w:sz="0" w:space="0" w:color="auto"/>
        <w:left w:val="none" w:sz="0" w:space="0" w:color="auto"/>
        <w:bottom w:val="none" w:sz="0" w:space="0" w:color="auto"/>
        <w:right w:val="none" w:sz="0" w:space="0" w:color="auto"/>
      </w:divBdr>
    </w:div>
    <w:div w:id="759135982">
      <w:bodyDiv w:val="1"/>
      <w:marLeft w:val="0"/>
      <w:marRight w:val="0"/>
      <w:marTop w:val="0"/>
      <w:marBottom w:val="0"/>
      <w:divBdr>
        <w:top w:val="none" w:sz="0" w:space="0" w:color="auto"/>
        <w:left w:val="none" w:sz="0" w:space="0" w:color="auto"/>
        <w:bottom w:val="none" w:sz="0" w:space="0" w:color="auto"/>
        <w:right w:val="none" w:sz="0" w:space="0" w:color="auto"/>
      </w:divBdr>
    </w:div>
    <w:div w:id="761492180">
      <w:bodyDiv w:val="1"/>
      <w:marLeft w:val="0"/>
      <w:marRight w:val="0"/>
      <w:marTop w:val="0"/>
      <w:marBottom w:val="0"/>
      <w:divBdr>
        <w:top w:val="none" w:sz="0" w:space="0" w:color="auto"/>
        <w:left w:val="none" w:sz="0" w:space="0" w:color="auto"/>
        <w:bottom w:val="none" w:sz="0" w:space="0" w:color="auto"/>
        <w:right w:val="none" w:sz="0" w:space="0" w:color="auto"/>
      </w:divBdr>
    </w:div>
    <w:div w:id="786046132">
      <w:bodyDiv w:val="1"/>
      <w:marLeft w:val="0"/>
      <w:marRight w:val="0"/>
      <w:marTop w:val="0"/>
      <w:marBottom w:val="0"/>
      <w:divBdr>
        <w:top w:val="none" w:sz="0" w:space="0" w:color="auto"/>
        <w:left w:val="none" w:sz="0" w:space="0" w:color="auto"/>
        <w:bottom w:val="none" w:sz="0" w:space="0" w:color="auto"/>
        <w:right w:val="none" w:sz="0" w:space="0" w:color="auto"/>
      </w:divBdr>
    </w:div>
    <w:div w:id="786193418">
      <w:bodyDiv w:val="1"/>
      <w:marLeft w:val="0"/>
      <w:marRight w:val="0"/>
      <w:marTop w:val="0"/>
      <w:marBottom w:val="0"/>
      <w:divBdr>
        <w:top w:val="none" w:sz="0" w:space="0" w:color="auto"/>
        <w:left w:val="none" w:sz="0" w:space="0" w:color="auto"/>
        <w:bottom w:val="none" w:sz="0" w:space="0" w:color="auto"/>
        <w:right w:val="none" w:sz="0" w:space="0" w:color="auto"/>
      </w:divBdr>
    </w:div>
    <w:div w:id="833956583">
      <w:bodyDiv w:val="1"/>
      <w:marLeft w:val="0"/>
      <w:marRight w:val="0"/>
      <w:marTop w:val="0"/>
      <w:marBottom w:val="0"/>
      <w:divBdr>
        <w:top w:val="none" w:sz="0" w:space="0" w:color="auto"/>
        <w:left w:val="none" w:sz="0" w:space="0" w:color="auto"/>
        <w:bottom w:val="none" w:sz="0" w:space="0" w:color="auto"/>
        <w:right w:val="none" w:sz="0" w:space="0" w:color="auto"/>
      </w:divBdr>
    </w:div>
    <w:div w:id="839347652">
      <w:bodyDiv w:val="1"/>
      <w:marLeft w:val="0"/>
      <w:marRight w:val="0"/>
      <w:marTop w:val="0"/>
      <w:marBottom w:val="0"/>
      <w:divBdr>
        <w:top w:val="none" w:sz="0" w:space="0" w:color="auto"/>
        <w:left w:val="none" w:sz="0" w:space="0" w:color="auto"/>
        <w:bottom w:val="none" w:sz="0" w:space="0" w:color="auto"/>
        <w:right w:val="none" w:sz="0" w:space="0" w:color="auto"/>
      </w:divBdr>
    </w:div>
    <w:div w:id="848642101">
      <w:bodyDiv w:val="1"/>
      <w:marLeft w:val="0"/>
      <w:marRight w:val="0"/>
      <w:marTop w:val="0"/>
      <w:marBottom w:val="0"/>
      <w:divBdr>
        <w:top w:val="none" w:sz="0" w:space="0" w:color="auto"/>
        <w:left w:val="none" w:sz="0" w:space="0" w:color="auto"/>
        <w:bottom w:val="none" w:sz="0" w:space="0" w:color="auto"/>
        <w:right w:val="none" w:sz="0" w:space="0" w:color="auto"/>
      </w:divBdr>
    </w:div>
    <w:div w:id="867108919">
      <w:bodyDiv w:val="1"/>
      <w:marLeft w:val="0"/>
      <w:marRight w:val="0"/>
      <w:marTop w:val="0"/>
      <w:marBottom w:val="0"/>
      <w:divBdr>
        <w:top w:val="none" w:sz="0" w:space="0" w:color="auto"/>
        <w:left w:val="none" w:sz="0" w:space="0" w:color="auto"/>
        <w:bottom w:val="none" w:sz="0" w:space="0" w:color="auto"/>
        <w:right w:val="none" w:sz="0" w:space="0" w:color="auto"/>
      </w:divBdr>
      <w:divsChild>
        <w:div w:id="93792473">
          <w:marLeft w:val="0"/>
          <w:marRight w:val="0"/>
          <w:marTop w:val="0"/>
          <w:marBottom w:val="0"/>
          <w:divBdr>
            <w:top w:val="none" w:sz="0" w:space="0" w:color="auto"/>
            <w:left w:val="none" w:sz="0" w:space="0" w:color="auto"/>
            <w:bottom w:val="none" w:sz="0" w:space="0" w:color="auto"/>
            <w:right w:val="none" w:sz="0" w:space="0" w:color="auto"/>
          </w:divBdr>
          <w:divsChild>
            <w:div w:id="923681610">
              <w:marLeft w:val="0"/>
              <w:marRight w:val="0"/>
              <w:marTop w:val="0"/>
              <w:marBottom w:val="0"/>
              <w:divBdr>
                <w:top w:val="none" w:sz="0" w:space="0" w:color="auto"/>
                <w:left w:val="none" w:sz="0" w:space="0" w:color="auto"/>
                <w:bottom w:val="none" w:sz="0" w:space="0" w:color="auto"/>
                <w:right w:val="none" w:sz="0" w:space="0" w:color="auto"/>
              </w:divBdr>
              <w:divsChild>
                <w:div w:id="923149216">
                  <w:marLeft w:val="0"/>
                  <w:marRight w:val="0"/>
                  <w:marTop w:val="0"/>
                  <w:marBottom w:val="0"/>
                  <w:divBdr>
                    <w:top w:val="none" w:sz="0" w:space="0" w:color="auto"/>
                    <w:left w:val="none" w:sz="0" w:space="0" w:color="auto"/>
                    <w:bottom w:val="none" w:sz="0" w:space="0" w:color="auto"/>
                    <w:right w:val="none" w:sz="0" w:space="0" w:color="auto"/>
                  </w:divBdr>
                  <w:divsChild>
                    <w:div w:id="598298030">
                      <w:marLeft w:val="0"/>
                      <w:marRight w:val="0"/>
                      <w:marTop w:val="0"/>
                      <w:marBottom w:val="0"/>
                      <w:divBdr>
                        <w:top w:val="none" w:sz="0" w:space="0" w:color="auto"/>
                        <w:left w:val="none" w:sz="0" w:space="0" w:color="auto"/>
                        <w:bottom w:val="none" w:sz="0" w:space="0" w:color="auto"/>
                        <w:right w:val="none" w:sz="0" w:space="0" w:color="auto"/>
                      </w:divBdr>
                      <w:divsChild>
                        <w:div w:id="573705897">
                          <w:marLeft w:val="0"/>
                          <w:marRight w:val="0"/>
                          <w:marTop w:val="0"/>
                          <w:marBottom w:val="0"/>
                          <w:divBdr>
                            <w:top w:val="none" w:sz="0" w:space="0" w:color="auto"/>
                            <w:left w:val="none" w:sz="0" w:space="0" w:color="auto"/>
                            <w:bottom w:val="none" w:sz="0" w:space="0" w:color="auto"/>
                            <w:right w:val="none" w:sz="0" w:space="0" w:color="auto"/>
                          </w:divBdr>
                          <w:divsChild>
                            <w:div w:id="808864230">
                              <w:marLeft w:val="0"/>
                              <w:marRight w:val="0"/>
                              <w:marTop w:val="0"/>
                              <w:marBottom w:val="0"/>
                              <w:divBdr>
                                <w:top w:val="none" w:sz="0" w:space="0" w:color="auto"/>
                                <w:left w:val="none" w:sz="0" w:space="0" w:color="auto"/>
                                <w:bottom w:val="none" w:sz="0" w:space="0" w:color="auto"/>
                                <w:right w:val="none" w:sz="0" w:space="0" w:color="auto"/>
                              </w:divBdr>
                              <w:divsChild>
                                <w:div w:id="1248684961">
                                  <w:marLeft w:val="0"/>
                                  <w:marRight w:val="0"/>
                                  <w:marTop w:val="0"/>
                                  <w:marBottom w:val="0"/>
                                  <w:divBdr>
                                    <w:top w:val="none" w:sz="0" w:space="0" w:color="auto"/>
                                    <w:left w:val="none" w:sz="0" w:space="0" w:color="auto"/>
                                    <w:bottom w:val="none" w:sz="0" w:space="0" w:color="auto"/>
                                    <w:right w:val="none" w:sz="0" w:space="0" w:color="auto"/>
                                  </w:divBdr>
                                  <w:divsChild>
                                    <w:div w:id="1997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9160">
                          <w:marLeft w:val="0"/>
                          <w:marRight w:val="0"/>
                          <w:marTop w:val="0"/>
                          <w:marBottom w:val="0"/>
                          <w:divBdr>
                            <w:top w:val="none" w:sz="0" w:space="0" w:color="auto"/>
                            <w:left w:val="none" w:sz="0" w:space="0" w:color="auto"/>
                            <w:bottom w:val="none" w:sz="0" w:space="0" w:color="auto"/>
                            <w:right w:val="none" w:sz="0" w:space="0" w:color="auto"/>
                          </w:divBdr>
                          <w:divsChild>
                            <w:div w:id="1079788448">
                              <w:marLeft w:val="0"/>
                              <w:marRight w:val="0"/>
                              <w:marTop w:val="0"/>
                              <w:marBottom w:val="0"/>
                              <w:divBdr>
                                <w:top w:val="none" w:sz="0" w:space="0" w:color="auto"/>
                                <w:left w:val="none" w:sz="0" w:space="0" w:color="auto"/>
                                <w:bottom w:val="none" w:sz="0" w:space="0" w:color="auto"/>
                                <w:right w:val="none" w:sz="0" w:space="0" w:color="auto"/>
                              </w:divBdr>
                              <w:divsChild>
                                <w:div w:id="19516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3951933">
      <w:bodyDiv w:val="1"/>
      <w:marLeft w:val="0"/>
      <w:marRight w:val="0"/>
      <w:marTop w:val="0"/>
      <w:marBottom w:val="0"/>
      <w:divBdr>
        <w:top w:val="none" w:sz="0" w:space="0" w:color="auto"/>
        <w:left w:val="none" w:sz="0" w:space="0" w:color="auto"/>
        <w:bottom w:val="none" w:sz="0" w:space="0" w:color="auto"/>
        <w:right w:val="none" w:sz="0" w:space="0" w:color="auto"/>
      </w:divBdr>
    </w:div>
    <w:div w:id="931939128">
      <w:bodyDiv w:val="1"/>
      <w:marLeft w:val="0"/>
      <w:marRight w:val="0"/>
      <w:marTop w:val="0"/>
      <w:marBottom w:val="0"/>
      <w:divBdr>
        <w:top w:val="none" w:sz="0" w:space="0" w:color="auto"/>
        <w:left w:val="none" w:sz="0" w:space="0" w:color="auto"/>
        <w:bottom w:val="none" w:sz="0" w:space="0" w:color="auto"/>
        <w:right w:val="none" w:sz="0" w:space="0" w:color="auto"/>
      </w:divBdr>
    </w:div>
    <w:div w:id="935476576">
      <w:bodyDiv w:val="1"/>
      <w:marLeft w:val="0"/>
      <w:marRight w:val="0"/>
      <w:marTop w:val="0"/>
      <w:marBottom w:val="0"/>
      <w:divBdr>
        <w:top w:val="none" w:sz="0" w:space="0" w:color="auto"/>
        <w:left w:val="none" w:sz="0" w:space="0" w:color="auto"/>
        <w:bottom w:val="none" w:sz="0" w:space="0" w:color="auto"/>
        <w:right w:val="none" w:sz="0" w:space="0" w:color="auto"/>
      </w:divBdr>
    </w:div>
    <w:div w:id="938560952">
      <w:bodyDiv w:val="1"/>
      <w:marLeft w:val="0"/>
      <w:marRight w:val="0"/>
      <w:marTop w:val="0"/>
      <w:marBottom w:val="0"/>
      <w:divBdr>
        <w:top w:val="none" w:sz="0" w:space="0" w:color="auto"/>
        <w:left w:val="none" w:sz="0" w:space="0" w:color="auto"/>
        <w:bottom w:val="none" w:sz="0" w:space="0" w:color="auto"/>
        <w:right w:val="none" w:sz="0" w:space="0" w:color="auto"/>
      </w:divBdr>
    </w:div>
    <w:div w:id="955133968">
      <w:bodyDiv w:val="1"/>
      <w:marLeft w:val="0"/>
      <w:marRight w:val="0"/>
      <w:marTop w:val="0"/>
      <w:marBottom w:val="0"/>
      <w:divBdr>
        <w:top w:val="none" w:sz="0" w:space="0" w:color="auto"/>
        <w:left w:val="none" w:sz="0" w:space="0" w:color="auto"/>
        <w:bottom w:val="none" w:sz="0" w:space="0" w:color="auto"/>
        <w:right w:val="none" w:sz="0" w:space="0" w:color="auto"/>
      </w:divBdr>
    </w:div>
    <w:div w:id="958797263">
      <w:bodyDiv w:val="1"/>
      <w:marLeft w:val="0"/>
      <w:marRight w:val="0"/>
      <w:marTop w:val="0"/>
      <w:marBottom w:val="0"/>
      <w:divBdr>
        <w:top w:val="none" w:sz="0" w:space="0" w:color="auto"/>
        <w:left w:val="none" w:sz="0" w:space="0" w:color="auto"/>
        <w:bottom w:val="none" w:sz="0" w:space="0" w:color="auto"/>
        <w:right w:val="none" w:sz="0" w:space="0" w:color="auto"/>
      </w:divBdr>
    </w:div>
    <w:div w:id="1011562897">
      <w:bodyDiv w:val="1"/>
      <w:marLeft w:val="0"/>
      <w:marRight w:val="0"/>
      <w:marTop w:val="0"/>
      <w:marBottom w:val="0"/>
      <w:divBdr>
        <w:top w:val="none" w:sz="0" w:space="0" w:color="auto"/>
        <w:left w:val="none" w:sz="0" w:space="0" w:color="auto"/>
        <w:bottom w:val="none" w:sz="0" w:space="0" w:color="auto"/>
        <w:right w:val="none" w:sz="0" w:space="0" w:color="auto"/>
      </w:divBdr>
    </w:div>
    <w:div w:id="1016343878">
      <w:bodyDiv w:val="1"/>
      <w:marLeft w:val="0"/>
      <w:marRight w:val="0"/>
      <w:marTop w:val="0"/>
      <w:marBottom w:val="0"/>
      <w:divBdr>
        <w:top w:val="none" w:sz="0" w:space="0" w:color="auto"/>
        <w:left w:val="none" w:sz="0" w:space="0" w:color="auto"/>
        <w:bottom w:val="none" w:sz="0" w:space="0" w:color="auto"/>
        <w:right w:val="none" w:sz="0" w:space="0" w:color="auto"/>
      </w:divBdr>
    </w:div>
    <w:div w:id="1020863150">
      <w:bodyDiv w:val="1"/>
      <w:marLeft w:val="0"/>
      <w:marRight w:val="0"/>
      <w:marTop w:val="0"/>
      <w:marBottom w:val="0"/>
      <w:divBdr>
        <w:top w:val="none" w:sz="0" w:space="0" w:color="auto"/>
        <w:left w:val="none" w:sz="0" w:space="0" w:color="auto"/>
        <w:bottom w:val="none" w:sz="0" w:space="0" w:color="auto"/>
        <w:right w:val="none" w:sz="0" w:space="0" w:color="auto"/>
      </w:divBdr>
    </w:div>
    <w:div w:id="1040935814">
      <w:bodyDiv w:val="1"/>
      <w:marLeft w:val="0"/>
      <w:marRight w:val="0"/>
      <w:marTop w:val="0"/>
      <w:marBottom w:val="0"/>
      <w:divBdr>
        <w:top w:val="none" w:sz="0" w:space="0" w:color="auto"/>
        <w:left w:val="none" w:sz="0" w:space="0" w:color="auto"/>
        <w:bottom w:val="none" w:sz="0" w:space="0" w:color="auto"/>
        <w:right w:val="none" w:sz="0" w:space="0" w:color="auto"/>
      </w:divBdr>
    </w:div>
    <w:div w:id="1067923177">
      <w:bodyDiv w:val="1"/>
      <w:marLeft w:val="0"/>
      <w:marRight w:val="0"/>
      <w:marTop w:val="0"/>
      <w:marBottom w:val="0"/>
      <w:divBdr>
        <w:top w:val="none" w:sz="0" w:space="0" w:color="auto"/>
        <w:left w:val="none" w:sz="0" w:space="0" w:color="auto"/>
        <w:bottom w:val="none" w:sz="0" w:space="0" w:color="auto"/>
        <w:right w:val="none" w:sz="0" w:space="0" w:color="auto"/>
      </w:divBdr>
      <w:divsChild>
        <w:div w:id="314649724">
          <w:marLeft w:val="0"/>
          <w:marRight w:val="0"/>
          <w:marTop w:val="0"/>
          <w:marBottom w:val="0"/>
          <w:divBdr>
            <w:top w:val="none" w:sz="0" w:space="0" w:color="auto"/>
            <w:left w:val="none" w:sz="0" w:space="0" w:color="auto"/>
            <w:bottom w:val="none" w:sz="0" w:space="0" w:color="auto"/>
            <w:right w:val="none" w:sz="0" w:space="0" w:color="auto"/>
          </w:divBdr>
          <w:divsChild>
            <w:div w:id="1466315233">
              <w:marLeft w:val="0"/>
              <w:marRight w:val="0"/>
              <w:marTop w:val="0"/>
              <w:marBottom w:val="0"/>
              <w:divBdr>
                <w:top w:val="none" w:sz="0" w:space="0" w:color="auto"/>
                <w:left w:val="none" w:sz="0" w:space="0" w:color="auto"/>
                <w:bottom w:val="none" w:sz="0" w:space="0" w:color="auto"/>
                <w:right w:val="none" w:sz="0" w:space="0" w:color="auto"/>
              </w:divBdr>
              <w:divsChild>
                <w:div w:id="469789869">
                  <w:marLeft w:val="0"/>
                  <w:marRight w:val="0"/>
                  <w:marTop w:val="0"/>
                  <w:marBottom w:val="0"/>
                  <w:divBdr>
                    <w:top w:val="none" w:sz="0" w:space="0" w:color="auto"/>
                    <w:left w:val="none" w:sz="0" w:space="0" w:color="auto"/>
                    <w:bottom w:val="none" w:sz="0" w:space="0" w:color="auto"/>
                    <w:right w:val="none" w:sz="0" w:space="0" w:color="auto"/>
                  </w:divBdr>
                  <w:divsChild>
                    <w:div w:id="866214576">
                      <w:marLeft w:val="0"/>
                      <w:marRight w:val="0"/>
                      <w:marTop w:val="0"/>
                      <w:marBottom w:val="0"/>
                      <w:divBdr>
                        <w:top w:val="none" w:sz="0" w:space="0" w:color="auto"/>
                        <w:left w:val="none" w:sz="0" w:space="0" w:color="auto"/>
                        <w:bottom w:val="none" w:sz="0" w:space="0" w:color="auto"/>
                        <w:right w:val="none" w:sz="0" w:space="0" w:color="auto"/>
                      </w:divBdr>
                      <w:divsChild>
                        <w:div w:id="189877835">
                          <w:marLeft w:val="0"/>
                          <w:marRight w:val="0"/>
                          <w:marTop w:val="0"/>
                          <w:marBottom w:val="0"/>
                          <w:divBdr>
                            <w:top w:val="none" w:sz="0" w:space="0" w:color="auto"/>
                            <w:left w:val="none" w:sz="0" w:space="0" w:color="auto"/>
                            <w:bottom w:val="none" w:sz="0" w:space="0" w:color="auto"/>
                            <w:right w:val="none" w:sz="0" w:space="0" w:color="auto"/>
                          </w:divBdr>
                          <w:divsChild>
                            <w:div w:id="437792354">
                              <w:marLeft w:val="0"/>
                              <w:marRight w:val="0"/>
                              <w:marTop w:val="0"/>
                              <w:marBottom w:val="0"/>
                              <w:divBdr>
                                <w:top w:val="none" w:sz="0" w:space="0" w:color="auto"/>
                                <w:left w:val="none" w:sz="0" w:space="0" w:color="auto"/>
                                <w:bottom w:val="none" w:sz="0" w:space="0" w:color="auto"/>
                                <w:right w:val="none" w:sz="0" w:space="0" w:color="auto"/>
                              </w:divBdr>
                              <w:divsChild>
                                <w:div w:id="375660927">
                                  <w:marLeft w:val="0"/>
                                  <w:marRight w:val="0"/>
                                  <w:marTop w:val="0"/>
                                  <w:marBottom w:val="0"/>
                                  <w:divBdr>
                                    <w:top w:val="none" w:sz="0" w:space="0" w:color="auto"/>
                                    <w:left w:val="none" w:sz="0" w:space="0" w:color="auto"/>
                                    <w:bottom w:val="none" w:sz="0" w:space="0" w:color="auto"/>
                                    <w:right w:val="none" w:sz="0" w:space="0" w:color="auto"/>
                                  </w:divBdr>
                                  <w:divsChild>
                                    <w:div w:id="1584408559">
                                      <w:marLeft w:val="0"/>
                                      <w:marRight w:val="0"/>
                                      <w:marTop w:val="0"/>
                                      <w:marBottom w:val="0"/>
                                      <w:divBdr>
                                        <w:top w:val="none" w:sz="0" w:space="0" w:color="auto"/>
                                        <w:left w:val="none" w:sz="0" w:space="0" w:color="auto"/>
                                        <w:bottom w:val="none" w:sz="0" w:space="0" w:color="auto"/>
                                        <w:right w:val="none" w:sz="0" w:space="0" w:color="auto"/>
                                      </w:divBdr>
                                      <w:divsChild>
                                        <w:div w:id="1481658553">
                                          <w:marLeft w:val="0"/>
                                          <w:marRight w:val="0"/>
                                          <w:marTop w:val="0"/>
                                          <w:marBottom w:val="0"/>
                                          <w:divBdr>
                                            <w:top w:val="none" w:sz="0" w:space="0" w:color="auto"/>
                                            <w:left w:val="none" w:sz="0" w:space="0" w:color="auto"/>
                                            <w:bottom w:val="none" w:sz="0" w:space="0" w:color="auto"/>
                                            <w:right w:val="none" w:sz="0" w:space="0" w:color="auto"/>
                                          </w:divBdr>
                                          <w:divsChild>
                                            <w:div w:id="1638025840">
                                              <w:marLeft w:val="0"/>
                                              <w:marRight w:val="0"/>
                                              <w:marTop w:val="0"/>
                                              <w:marBottom w:val="0"/>
                                              <w:divBdr>
                                                <w:top w:val="none" w:sz="0" w:space="0" w:color="auto"/>
                                                <w:left w:val="none" w:sz="0" w:space="0" w:color="auto"/>
                                                <w:bottom w:val="none" w:sz="0" w:space="0" w:color="auto"/>
                                                <w:right w:val="none" w:sz="0" w:space="0" w:color="auto"/>
                                              </w:divBdr>
                                              <w:divsChild>
                                                <w:div w:id="2061778891">
                                                  <w:marLeft w:val="0"/>
                                                  <w:marRight w:val="0"/>
                                                  <w:marTop w:val="0"/>
                                                  <w:marBottom w:val="0"/>
                                                  <w:divBdr>
                                                    <w:top w:val="none" w:sz="0" w:space="0" w:color="auto"/>
                                                    <w:left w:val="none" w:sz="0" w:space="0" w:color="auto"/>
                                                    <w:bottom w:val="none" w:sz="0" w:space="0" w:color="auto"/>
                                                    <w:right w:val="none" w:sz="0" w:space="0" w:color="auto"/>
                                                  </w:divBdr>
                                                  <w:divsChild>
                                                    <w:div w:id="1431195917">
                                                      <w:marLeft w:val="0"/>
                                                      <w:marRight w:val="0"/>
                                                      <w:marTop w:val="0"/>
                                                      <w:marBottom w:val="0"/>
                                                      <w:divBdr>
                                                        <w:top w:val="none" w:sz="0" w:space="0" w:color="auto"/>
                                                        <w:left w:val="none" w:sz="0" w:space="0" w:color="auto"/>
                                                        <w:bottom w:val="none" w:sz="0" w:space="0" w:color="auto"/>
                                                        <w:right w:val="none" w:sz="0" w:space="0" w:color="auto"/>
                                                      </w:divBdr>
                                                      <w:divsChild>
                                                        <w:div w:id="623389921">
                                                          <w:marLeft w:val="0"/>
                                                          <w:marRight w:val="0"/>
                                                          <w:marTop w:val="0"/>
                                                          <w:marBottom w:val="0"/>
                                                          <w:divBdr>
                                                            <w:top w:val="none" w:sz="0" w:space="0" w:color="auto"/>
                                                            <w:left w:val="none" w:sz="0" w:space="0" w:color="auto"/>
                                                            <w:bottom w:val="none" w:sz="0" w:space="0" w:color="auto"/>
                                                            <w:right w:val="none" w:sz="0" w:space="0" w:color="auto"/>
                                                          </w:divBdr>
                                                          <w:divsChild>
                                                            <w:div w:id="1711102219">
                                                              <w:marLeft w:val="0"/>
                                                              <w:marRight w:val="0"/>
                                                              <w:marTop w:val="0"/>
                                                              <w:marBottom w:val="0"/>
                                                              <w:divBdr>
                                                                <w:top w:val="none" w:sz="0" w:space="0" w:color="auto"/>
                                                                <w:left w:val="none" w:sz="0" w:space="0" w:color="auto"/>
                                                                <w:bottom w:val="none" w:sz="0" w:space="0" w:color="auto"/>
                                                                <w:right w:val="none" w:sz="0" w:space="0" w:color="auto"/>
                                                              </w:divBdr>
                                                              <w:divsChild>
                                                                <w:div w:id="1835608867">
                                                                  <w:marLeft w:val="0"/>
                                                                  <w:marRight w:val="0"/>
                                                                  <w:marTop w:val="0"/>
                                                                  <w:marBottom w:val="0"/>
                                                                  <w:divBdr>
                                                                    <w:top w:val="none" w:sz="0" w:space="0" w:color="auto"/>
                                                                    <w:left w:val="none" w:sz="0" w:space="0" w:color="auto"/>
                                                                    <w:bottom w:val="none" w:sz="0" w:space="0" w:color="auto"/>
                                                                    <w:right w:val="none" w:sz="0" w:space="0" w:color="auto"/>
                                                                  </w:divBdr>
                                                                  <w:divsChild>
                                                                    <w:div w:id="1603762764">
                                                                      <w:marLeft w:val="0"/>
                                                                      <w:marRight w:val="0"/>
                                                                      <w:marTop w:val="0"/>
                                                                      <w:marBottom w:val="0"/>
                                                                      <w:divBdr>
                                                                        <w:top w:val="none" w:sz="0" w:space="0" w:color="auto"/>
                                                                        <w:left w:val="none" w:sz="0" w:space="0" w:color="auto"/>
                                                                        <w:bottom w:val="none" w:sz="0" w:space="0" w:color="auto"/>
                                                                        <w:right w:val="none" w:sz="0" w:space="0" w:color="auto"/>
                                                                      </w:divBdr>
                                                                      <w:divsChild>
                                                                        <w:div w:id="383213857">
                                                                          <w:marLeft w:val="0"/>
                                                                          <w:marRight w:val="0"/>
                                                                          <w:marTop w:val="0"/>
                                                                          <w:marBottom w:val="0"/>
                                                                          <w:divBdr>
                                                                            <w:top w:val="none" w:sz="0" w:space="0" w:color="auto"/>
                                                                            <w:left w:val="none" w:sz="0" w:space="0" w:color="auto"/>
                                                                            <w:bottom w:val="none" w:sz="0" w:space="0" w:color="auto"/>
                                                                            <w:right w:val="none" w:sz="0" w:space="0" w:color="auto"/>
                                                                          </w:divBdr>
                                                                          <w:divsChild>
                                                                            <w:div w:id="1811508232">
                                                                              <w:marLeft w:val="0"/>
                                                                              <w:marRight w:val="0"/>
                                                                              <w:marTop w:val="0"/>
                                                                              <w:marBottom w:val="0"/>
                                                                              <w:divBdr>
                                                                                <w:top w:val="none" w:sz="0" w:space="0" w:color="auto"/>
                                                                                <w:left w:val="none" w:sz="0" w:space="0" w:color="auto"/>
                                                                                <w:bottom w:val="none" w:sz="0" w:space="0" w:color="auto"/>
                                                                                <w:right w:val="none" w:sz="0" w:space="0" w:color="auto"/>
                                                                              </w:divBdr>
                                                                              <w:divsChild>
                                                                                <w:div w:id="1221986901">
                                                                                  <w:marLeft w:val="0"/>
                                                                                  <w:marRight w:val="0"/>
                                                                                  <w:marTop w:val="0"/>
                                                                                  <w:marBottom w:val="0"/>
                                                                                  <w:divBdr>
                                                                                    <w:top w:val="none" w:sz="0" w:space="0" w:color="auto"/>
                                                                                    <w:left w:val="none" w:sz="0" w:space="0" w:color="auto"/>
                                                                                    <w:bottom w:val="none" w:sz="0" w:space="0" w:color="auto"/>
                                                                                    <w:right w:val="none" w:sz="0" w:space="0" w:color="auto"/>
                                                                                  </w:divBdr>
                                                                                  <w:divsChild>
                                                                                    <w:div w:id="2066175734">
                                                                                      <w:marLeft w:val="0"/>
                                                                                      <w:marRight w:val="0"/>
                                                                                      <w:marTop w:val="0"/>
                                                                                      <w:marBottom w:val="0"/>
                                                                                      <w:divBdr>
                                                                                        <w:top w:val="none" w:sz="0" w:space="0" w:color="auto"/>
                                                                                        <w:left w:val="none" w:sz="0" w:space="0" w:color="auto"/>
                                                                                        <w:bottom w:val="none" w:sz="0" w:space="0" w:color="auto"/>
                                                                                        <w:right w:val="none" w:sz="0" w:space="0" w:color="auto"/>
                                                                                      </w:divBdr>
                                                                                      <w:divsChild>
                                                                                        <w:div w:id="163008968">
                                                                                          <w:marLeft w:val="0"/>
                                                                                          <w:marRight w:val="0"/>
                                                                                          <w:marTop w:val="0"/>
                                                                                          <w:marBottom w:val="0"/>
                                                                                          <w:divBdr>
                                                                                            <w:top w:val="none" w:sz="0" w:space="0" w:color="auto"/>
                                                                                            <w:left w:val="none" w:sz="0" w:space="0" w:color="auto"/>
                                                                                            <w:bottom w:val="none" w:sz="0" w:space="0" w:color="auto"/>
                                                                                            <w:right w:val="none" w:sz="0" w:space="0" w:color="auto"/>
                                                                                          </w:divBdr>
                                                                                          <w:divsChild>
                                                                                            <w:div w:id="224997086">
                                                                                              <w:marLeft w:val="0"/>
                                                                                              <w:marRight w:val="0"/>
                                                                                              <w:marTop w:val="0"/>
                                                                                              <w:marBottom w:val="0"/>
                                                                                              <w:divBdr>
                                                                                                <w:top w:val="none" w:sz="0" w:space="0" w:color="auto"/>
                                                                                                <w:left w:val="none" w:sz="0" w:space="0" w:color="auto"/>
                                                                                                <w:bottom w:val="none" w:sz="0" w:space="0" w:color="auto"/>
                                                                                                <w:right w:val="none" w:sz="0" w:space="0" w:color="auto"/>
                                                                                              </w:divBdr>
                                                                                              <w:divsChild>
                                                                                                <w:div w:id="1999535006">
                                                                                                  <w:marLeft w:val="0"/>
                                                                                                  <w:marRight w:val="0"/>
                                                                                                  <w:marTop w:val="0"/>
                                                                                                  <w:marBottom w:val="0"/>
                                                                                                  <w:divBdr>
                                                                                                    <w:top w:val="none" w:sz="0" w:space="0" w:color="auto"/>
                                                                                                    <w:left w:val="none" w:sz="0" w:space="0" w:color="auto"/>
                                                                                                    <w:bottom w:val="none" w:sz="0" w:space="0" w:color="auto"/>
                                                                                                    <w:right w:val="none" w:sz="0" w:space="0" w:color="auto"/>
                                                                                                  </w:divBdr>
                                                                                                  <w:divsChild>
                                                                                                    <w:div w:id="2009282697">
                                                                                                      <w:marLeft w:val="0"/>
                                                                                                      <w:marRight w:val="0"/>
                                                                                                      <w:marTop w:val="0"/>
                                                                                                      <w:marBottom w:val="0"/>
                                                                                                      <w:divBdr>
                                                                                                        <w:top w:val="none" w:sz="0" w:space="0" w:color="auto"/>
                                                                                                        <w:left w:val="none" w:sz="0" w:space="0" w:color="auto"/>
                                                                                                        <w:bottom w:val="none" w:sz="0" w:space="0" w:color="auto"/>
                                                                                                        <w:right w:val="none" w:sz="0" w:space="0" w:color="auto"/>
                                                                                                      </w:divBdr>
                                                                                                      <w:divsChild>
                                                                                                        <w:div w:id="775096317">
                                                                                                          <w:marLeft w:val="0"/>
                                                                                                          <w:marRight w:val="0"/>
                                                                                                          <w:marTop w:val="0"/>
                                                                                                          <w:marBottom w:val="0"/>
                                                                                                          <w:divBdr>
                                                                                                            <w:top w:val="none" w:sz="0" w:space="0" w:color="auto"/>
                                                                                                            <w:left w:val="none" w:sz="0" w:space="0" w:color="auto"/>
                                                                                                            <w:bottom w:val="none" w:sz="0" w:space="0" w:color="auto"/>
                                                                                                            <w:right w:val="none" w:sz="0" w:space="0" w:color="auto"/>
                                                                                                          </w:divBdr>
                                                                                                          <w:divsChild>
                                                                                                            <w:div w:id="1553613573">
                                                                                                              <w:marLeft w:val="0"/>
                                                                                                              <w:marRight w:val="0"/>
                                                                                                              <w:marTop w:val="0"/>
                                                                                                              <w:marBottom w:val="0"/>
                                                                                                              <w:divBdr>
                                                                                                                <w:top w:val="none" w:sz="0" w:space="0" w:color="auto"/>
                                                                                                                <w:left w:val="none" w:sz="0" w:space="0" w:color="auto"/>
                                                                                                                <w:bottom w:val="none" w:sz="0" w:space="0" w:color="auto"/>
                                                                                                                <w:right w:val="none" w:sz="0" w:space="0" w:color="auto"/>
                                                                                                              </w:divBdr>
                                                                                                              <w:divsChild>
                                                                                                                <w:div w:id="1372803023">
                                                                                                                  <w:marLeft w:val="0"/>
                                                                                                                  <w:marRight w:val="0"/>
                                                                                                                  <w:marTop w:val="0"/>
                                                                                                                  <w:marBottom w:val="0"/>
                                                                                                                  <w:divBdr>
                                                                                                                    <w:top w:val="none" w:sz="0" w:space="0" w:color="auto"/>
                                                                                                                    <w:left w:val="none" w:sz="0" w:space="0" w:color="auto"/>
                                                                                                                    <w:bottom w:val="none" w:sz="0" w:space="0" w:color="auto"/>
                                                                                                                    <w:right w:val="none" w:sz="0" w:space="0" w:color="auto"/>
                                                                                                                  </w:divBdr>
                                                                                                                  <w:divsChild>
                                                                                                                    <w:div w:id="965545794">
                                                                                                                      <w:marLeft w:val="0"/>
                                                                                                                      <w:marRight w:val="0"/>
                                                                                                                      <w:marTop w:val="0"/>
                                                                                                                      <w:marBottom w:val="0"/>
                                                                                                                      <w:divBdr>
                                                                                                                        <w:top w:val="none" w:sz="0" w:space="0" w:color="auto"/>
                                                                                                                        <w:left w:val="none" w:sz="0" w:space="0" w:color="auto"/>
                                                                                                                        <w:bottom w:val="none" w:sz="0" w:space="0" w:color="auto"/>
                                                                                                                        <w:right w:val="none" w:sz="0" w:space="0" w:color="auto"/>
                                                                                                                      </w:divBdr>
                                                                                                                      <w:divsChild>
                                                                                                                        <w:div w:id="1076125744">
                                                                                                                          <w:marLeft w:val="0"/>
                                                                                                                          <w:marRight w:val="0"/>
                                                                                                                          <w:marTop w:val="0"/>
                                                                                                                          <w:marBottom w:val="0"/>
                                                                                                                          <w:divBdr>
                                                                                                                            <w:top w:val="none" w:sz="0" w:space="0" w:color="auto"/>
                                                                                                                            <w:left w:val="none" w:sz="0" w:space="0" w:color="auto"/>
                                                                                                                            <w:bottom w:val="none" w:sz="0" w:space="0" w:color="auto"/>
                                                                                                                            <w:right w:val="none" w:sz="0" w:space="0" w:color="auto"/>
                                                                                                                          </w:divBdr>
                                                                                                                          <w:divsChild>
                                                                                                                            <w:div w:id="60538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630152">
          <w:marLeft w:val="0"/>
          <w:marRight w:val="0"/>
          <w:marTop w:val="0"/>
          <w:marBottom w:val="0"/>
          <w:divBdr>
            <w:top w:val="none" w:sz="0" w:space="0" w:color="auto"/>
            <w:left w:val="none" w:sz="0" w:space="0" w:color="auto"/>
            <w:bottom w:val="none" w:sz="0" w:space="0" w:color="auto"/>
            <w:right w:val="none" w:sz="0" w:space="0" w:color="auto"/>
          </w:divBdr>
          <w:divsChild>
            <w:div w:id="343096143">
              <w:marLeft w:val="0"/>
              <w:marRight w:val="0"/>
              <w:marTop w:val="0"/>
              <w:marBottom w:val="0"/>
              <w:divBdr>
                <w:top w:val="none" w:sz="0" w:space="0" w:color="auto"/>
                <w:left w:val="none" w:sz="0" w:space="0" w:color="auto"/>
                <w:bottom w:val="none" w:sz="0" w:space="0" w:color="auto"/>
                <w:right w:val="none" w:sz="0" w:space="0" w:color="auto"/>
              </w:divBdr>
              <w:divsChild>
                <w:div w:id="724378863">
                  <w:marLeft w:val="0"/>
                  <w:marRight w:val="0"/>
                  <w:marTop w:val="0"/>
                  <w:marBottom w:val="0"/>
                  <w:divBdr>
                    <w:top w:val="none" w:sz="0" w:space="0" w:color="auto"/>
                    <w:left w:val="none" w:sz="0" w:space="0" w:color="auto"/>
                    <w:bottom w:val="none" w:sz="0" w:space="0" w:color="auto"/>
                    <w:right w:val="none" w:sz="0" w:space="0" w:color="auto"/>
                  </w:divBdr>
                  <w:divsChild>
                    <w:div w:id="963971687">
                      <w:marLeft w:val="0"/>
                      <w:marRight w:val="0"/>
                      <w:marTop w:val="0"/>
                      <w:marBottom w:val="0"/>
                      <w:divBdr>
                        <w:top w:val="none" w:sz="0" w:space="0" w:color="auto"/>
                        <w:left w:val="none" w:sz="0" w:space="0" w:color="auto"/>
                        <w:bottom w:val="none" w:sz="0" w:space="0" w:color="auto"/>
                        <w:right w:val="none" w:sz="0" w:space="0" w:color="auto"/>
                      </w:divBdr>
                      <w:divsChild>
                        <w:div w:id="192891063">
                          <w:marLeft w:val="0"/>
                          <w:marRight w:val="0"/>
                          <w:marTop w:val="0"/>
                          <w:marBottom w:val="60"/>
                          <w:divBdr>
                            <w:top w:val="none" w:sz="0" w:space="0" w:color="auto"/>
                            <w:left w:val="none" w:sz="0" w:space="0" w:color="auto"/>
                            <w:bottom w:val="none" w:sz="0" w:space="0" w:color="auto"/>
                            <w:right w:val="none" w:sz="0" w:space="0" w:color="auto"/>
                          </w:divBdr>
                          <w:divsChild>
                            <w:div w:id="1652711144">
                              <w:marLeft w:val="0"/>
                              <w:marRight w:val="0"/>
                              <w:marTop w:val="0"/>
                              <w:marBottom w:val="0"/>
                              <w:divBdr>
                                <w:top w:val="none" w:sz="0" w:space="0" w:color="auto"/>
                                <w:left w:val="none" w:sz="0" w:space="0" w:color="auto"/>
                                <w:bottom w:val="none" w:sz="0" w:space="0" w:color="auto"/>
                                <w:right w:val="none" w:sz="0" w:space="0" w:color="auto"/>
                              </w:divBdr>
                              <w:divsChild>
                                <w:div w:id="5432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5019">
                      <w:marLeft w:val="0"/>
                      <w:marRight w:val="0"/>
                      <w:marTop w:val="0"/>
                      <w:marBottom w:val="0"/>
                      <w:divBdr>
                        <w:top w:val="none" w:sz="0" w:space="0" w:color="auto"/>
                        <w:left w:val="none" w:sz="0" w:space="0" w:color="auto"/>
                        <w:bottom w:val="none" w:sz="0" w:space="0" w:color="auto"/>
                        <w:right w:val="none" w:sz="0" w:space="0" w:color="auto"/>
                      </w:divBdr>
                      <w:divsChild>
                        <w:div w:id="397552582">
                          <w:marLeft w:val="0"/>
                          <w:marRight w:val="0"/>
                          <w:marTop w:val="0"/>
                          <w:marBottom w:val="0"/>
                          <w:divBdr>
                            <w:top w:val="none" w:sz="0" w:space="0" w:color="auto"/>
                            <w:left w:val="none" w:sz="0" w:space="0" w:color="auto"/>
                            <w:bottom w:val="none" w:sz="0" w:space="0" w:color="auto"/>
                            <w:right w:val="none" w:sz="0" w:space="0" w:color="auto"/>
                          </w:divBdr>
                          <w:divsChild>
                            <w:div w:id="20053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0047">
                      <w:marLeft w:val="0"/>
                      <w:marRight w:val="0"/>
                      <w:marTop w:val="0"/>
                      <w:marBottom w:val="0"/>
                      <w:divBdr>
                        <w:top w:val="none" w:sz="0" w:space="0" w:color="auto"/>
                        <w:left w:val="none" w:sz="0" w:space="0" w:color="auto"/>
                        <w:bottom w:val="none" w:sz="0" w:space="0" w:color="auto"/>
                        <w:right w:val="none" w:sz="0" w:space="0" w:color="auto"/>
                      </w:divBdr>
                      <w:divsChild>
                        <w:div w:id="1389769433">
                          <w:marLeft w:val="0"/>
                          <w:marRight w:val="0"/>
                          <w:marTop w:val="0"/>
                          <w:marBottom w:val="0"/>
                          <w:divBdr>
                            <w:top w:val="none" w:sz="0" w:space="0" w:color="auto"/>
                            <w:left w:val="none" w:sz="0" w:space="0" w:color="auto"/>
                            <w:bottom w:val="none" w:sz="0" w:space="0" w:color="auto"/>
                            <w:right w:val="none" w:sz="0" w:space="0" w:color="auto"/>
                          </w:divBdr>
                          <w:divsChild>
                            <w:div w:id="461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4944">
                  <w:marLeft w:val="0"/>
                  <w:marRight w:val="0"/>
                  <w:marTop w:val="0"/>
                  <w:marBottom w:val="0"/>
                  <w:divBdr>
                    <w:top w:val="none" w:sz="0" w:space="0" w:color="auto"/>
                    <w:left w:val="none" w:sz="0" w:space="0" w:color="auto"/>
                    <w:bottom w:val="none" w:sz="0" w:space="0" w:color="auto"/>
                    <w:right w:val="none" w:sz="0" w:space="0" w:color="auto"/>
                  </w:divBdr>
                  <w:divsChild>
                    <w:div w:id="867790203">
                      <w:marLeft w:val="0"/>
                      <w:marRight w:val="0"/>
                      <w:marTop w:val="0"/>
                      <w:marBottom w:val="0"/>
                      <w:divBdr>
                        <w:top w:val="none" w:sz="0" w:space="0" w:color="auto"/>
                        <w:left w:val="none" w:sz="0" w:space="0" w:color="auto"/>
                        <w:bottom w:val="none" w:sz="0" w:space="0" w:color="auto"/>
                        <w:right w:val="none" w:sz="0" w:space="0" w:color="auto"/>
                      </w:divBdr>
                      <w:divsChild>
                        <w:div w:id="114179561">
                          <w:marLeft w:val="0"/>
                          <w:marRight w:val="0"/>
                          <w:marTop w:val="0"/>
                          <w:marBottom w:val="0"/>
                          <w:divBdr>
                            <w:top w:val="none" w:sz="0" w:space="0" w:color="auto"/>
                            <w:left w:val="none" w:sz="0" w:space="0" w:color="auto"/>
                            <w:bottom w:val="none" w:sz="0" w:space="0" w:color="auto"/>
                            <w:right w:val="none" w:sz="0" w:space="0" w:color="auto"/>
                          </w:divBdr>
                          <w:divsChild>
                            <w:div w:id="610548737">
                              <w:marLeft w:val="0"/>
                              <w:marRight w:val="0"/>
                              <w:marTop w:val="0"/>
                              <w:marBottom w:val="0"/>
                              <w:divBdr>
                                <w:top w:val="none" w:sz="0" w:space="0" w:color="auto"/>
                                <w:left w:val="none" w:sz="0" w:space="0" w:color="auto"/>
                                <w:bottom w:val="none" w:sz="0" w:space="0" w:color="auto"/>
                                <w:right w:val="none" w:sz="0" w:space="0" w:color="auto"/>
                              </w:divBdr>
                              <w:divsChild>
                                <w:div w:id="1395739531">
                                  <w:marLeft w:val="0"/>
                                  <w:marRight w:val="0"/>
                                  <w:marTop w:val="0"/>
                                  <w:marBottom w:val="0"/>
                                  <w:divBdr>
                                    <w:top w:val="none" w:sz="0" w:space="0" w:color="auto"/>
                                    <w:left w:val="none" w:sz="0" w:space="0" w:color="auto"/>
                                    <w:bottom w:val="none" w:sz="0" w:space="0" w:color="auto"/>
                                    <w:right w:val="none" w:sz="0" w:space="0" w:color="auto"/>
                                  </w:divBdr>
                                  <w:divsChild>
                                    <w:div w:id="135296828">
                                      <w:marLeft w:val="0"/>
                                      <w:marRight w:val="0"/>
                                      <w:marTop w:val="0"/>
                                      <w:marBottom w:val="0"/>
                                      <w:divBdr>
                                        <w:top w:val="none" w:sz="0" w:space="0" w:color="auto"/>
                                        <w:left w:val="none" w:sz="0" w:space="0" w:color="auto"/>
                                        <w:bottom w:val="none" w:sz="0" w:space="0" w:color="auto"/>
                                        <w:right w:val="none" w:sz="0" w:space="0" w:color="auto"/>
                                      </w:divBdr>
                                      <w:divsChild>
                                        <w:div w:id="762839550">
                                          <w:marLeft w:val="0"/>
                                          <w:marRight w:val="0"/>
                                          <w:marTop w:val="0"/>
                                          <w:marBottom w:val="0"/>
                                          <w:divBdr>
                                            <w:top w:val="none" w:sz="0" w:space="0" w:color="auto"/>
                                            <w:left w:val="none" w:sz="0" w:space="0" w:color="auto"/>
                                            <w:bottom w:val="none" w:sz="0" w:space="0" w:color="auto"/>
                                            <w:right w:val="none" w:sz="0" w:space="0" w:color="auto"/>
                                          </w:divBdr>
                                          <w:divsChild>
                                            <w:div w:id="1122967622">
                                              <w:marLeft w:val="0"/>
                                              <w:marRight w:val="0"/>
                                              <w:marTop w:val="0"/>
                                              <w:marBottom w:val="0"/>
                                              <w:divBdr>
                                                <w:top w:val="none" w:sz="0" w:space="0" w:color="auto"/>
                                                <w:left w:val="none" w:sz="0" w:space="0" w:color="auto"/>
                                                <w:bottom w:val="none" w:sz="0" w:space="0" w:color="auto"/>
                                                <w:right w:val="none" w:sz="0" w:space="0" w:color="auto"/>
                                              </w:divBdr>
                                              <w:divsChild>
                                                <w:div w:id="941182336">
                                                  <w:marLeft w:val="0"/>
                                                  <w:marRight w:val="0"/>
                                                  <w:marTop w:val="0"/>
                                                  <w:marBottom w:val="0"/>
                                                  <w:divBdr>
                                                    <w:top w:val="none" w:sz="0" w:space="0" w:color="auto"/>
                                                    <w:left w:val="none" w:sz="0" w:space="0" w:color="auto"/>
                                                    <w:bottom w:val="none" w:sz="0" w:space="0" w:color="auto"/>
                                                    <w:right w:val="none" w:sz="0" w:space="0" w:color="auto"/>
                                                  </w:divBdr>
                                                  <w:divsChild>
                                                    <w:div w:id="82146210">
                                                      <w:marLeft w:val="0"/>
                                                      <w:marRight w:val="0"/>
                                                      <w:marTop w:val="0"/>
                                                      <w:marBottom w:val="0"/>
                                                      <w:divBdr>
                                                        <w:top w:val="none" w:sz="0" w:space="0" w:color="auto"/>
                                                        <w:left w:val="none" w:sz="0" w:space="0" w:color="auto"/>
                                                        <w:bottom w:val="none" w:sz="0" w:space="0" w:color="auto"/>
                                                        <w:right w:val="none" w:sz="0" w:space="0" w:color="auto"/>
                                                      </w:divBdr>
                                                      <w:divsChild>
                                                        <w:div w:id="993988232">
                                                          <w:marLeft w:val="0"/>
                                                          <w:marRight w:val="0"/>
                                                          <w:marTop w:val="0"/>
                                                          <w:marBottom w:val="0"/>
                                                          <w:divBdr>
                                                            <w:top w:val="none" w:sz="0" w:space="0" w:color="auto"/>
                                                            <w:left w:val="none" w:sz="0" w:space="0" w:color="auto"/>
                                                            <w:bottom w:val="none" w:sz="0" w:space="0" w:color="auto"/>
                                                            <w:right w:val="none" w:sz="0" w:space="0" w:color="auto"/>
                                                          </w:divBdr>
                                                          <w:divsChild>
                                                            <w:div w:id="821628437">
                                                              <w:marLeft w:val="0"/>
                                                              <w:marRight w:val="0"/>
                                                              <w:marTop w:val="0"/>
                                                              <w:marBottom w:val="0"/>
                                                              <w:divBdr>
                                                                <w:top w:val="none" w:sz="0" w:space="0" w:color="auto"/>
                                                                <w:left w:val="none" w:sz="0" w:space="0" w:color="auto"/>
                                                                <w:bottom w:val="none" w:sz="0" w:space="0" w:color="auto"/>
                                                                <w:right w:val="none" w:sz="0" w:space="0" w:color="auto"/>
                                                              </w:divBdr>
                                                              <w:divsChild>
                                                                <w:div w:id="1886797863">
                                                                  <w:marLeft w:val="0"/>
                                                                  <w:marRight w:val="0"/>
                                                                  <w:marTop w:val="0"/>
                                                                  <w:marBottom w:val="0"/>
                                                                  <w:divBdr>
                                                                    <w:top w:val="none" w:sz="0" w:space="0" w:color="auto"/>
                                                                    <w:left w:val="none" w:sz="0" w:space="0" w:color="auto"/>
                                                                    <w:bottom w:val="none" w:sz="0" w:space="0" w:color="auto"/>
                                                                    <w:right w:val="none" w:sz="0" w:space="0" w:color="auto"/>
                                                                  </w:divBdr>
                                                                  <w:divsChild>
                                                                    <w:div w:id="1318076096">
                                                                      <w:marLeft w:val="0"/>
                                                                      <w:marRight w:val="0"/>
                                                                      <w:marTop w:val="0"/>
                                                                      <w:marBottom w:val="0"/>
                                                                      <w:divBdr>
                                                                        <w:top w:val="none" w:sz="0" w:space="0" w:color="auto"/>
                                                                        <w:left w:val="none" w:sz="0" w:space="0" w:color="auto"/>
                                                                        <w:bottom w:val="none" w:sz="0" w:space="0" w:color="auto"/>
                                                                        <w:right w:val="none" w:sz="0" w:space="0" w:color="auto"/>
                                                                      </w:divBdr>
                                                                      <w:divsChild>
                                                                        <w:div w:id="167719908">
                                                                          <w:marLeft w:val="0"/>
                                                                          <w:marRight w:val="0"/>
                                                                          <w:marTop w:val="0"/>
                                                                          <w:marBottom w:val="0"/>
                                                                          <w:divBdr>
                                                                            <w:top w:val="none" w:sz="0" w:space="0" w:color="auto"/>
                                                                            <w:left w:val="none" w:sz="0" w:space="0" w:color="auto"/>
                                                                            <w:bottom w:val="none" w:sz="0" w:space="0" w:color="auto"/>
                                                                            <w:right w:val="none" w:sz="0" w:space="0" w:color="auto"/>
                                                                          </w:divBdr>
                                                                          <w:divsChild>
                                                                            <w:div w:id="604462500">
                                                                              <w:marLeft w:val="0"/>
                                                                              <w:marRight w:val="0"/>
                                                                              <w:marTop w:val="0"/>
                                                                              <w:marBottom w:val="0"/>
                                                                              <w:divBdr>
                                                                                <w:top w:val="none" w:sz="0" w:space="0" w:color="auto"/>
                                                                                <w:left w:val="none" w:sz="0" w:space="0" w:color="auto"/>
                                                                                <w:bottom w:val="none" w:sz="0" w:space="0" w:color="auto"/>
                                                                                <w:right w:val="none" w:sz="0" w:space="0" w:color="auto"/>
                                                                              </w:divBdr>
                                                                              <w:divsChild>
                                                                                <w:div w:id="580217901">
                                                                                  <w:marLeft w:val="0"/>
                                                                                  <w:marRight w:val="0"/>
                                                                                  <w:marTop w:val="0"/>
                                                                                  <w:marBottom w:val="0"/>
                                                                                  <w:divBdr>
                                                                                    <w:top w:val="none" w:sz="0" w:space="0" w:color="auto"/>
                                                                                    <w:left w:val="none" w:sz="0" w:space="0" w:color="auto"/>
                                                                                    <w:bottom w:val="none" w:sz="0" w:space="0" w:color="auto"/>
                                                                                    <w:right w:val="none" w:sz="0" w:space="0" w:color="auto"/>
                                                                                  </w:divBdr>
                                                                                  <w:divsChild>
                                                                                    <w:div w:id="1438410516">
                                                                                      <w:marLeft w:val="0"/>
                                                                                      <w:marRight w:val="0"/>
                                                                                      <w:marTop w:val="0"/>
                                                                                      <w:marBottom w:val="0"/>
                                                                                      <w:divBdr>
                                                                                        <w:top w:val="none" w:sz="0" w:space="0" w:color="auto"/>
                                                                                        <w:left w:val="none" w:sz="0" w:space="0" w:color="auto"/>
                                                                                        <w:bottom w:val="none" w:sz="0" w:space="0" w:color="auto"/>
                                                                                        <w:right w:val="none" w:sz="0" w:space="0" w:color="auto"/>
                                                                                      </w:divBdr>
                                                                                      <w:divsChild>
                                                                                        <w:div w:id="902957756">
                                                                                          <w:marLeft w:val="0"/>
                                                                                          <w:marRight w:val="0"/>
                                                                                          <w:marTop w:val="0"/>
                                                                                          <w:marBottom w:val="0"/>
                                                                                          <w:divBdr>
                                                                                            <w:top w:val="none" w:sz="0" w:space="0" w:color="auto"/>
                                                                                            <w:left w:val="none" w:sz="0" w:space="0" w:color="auto"/>
                                                                                            <w:bottom w:val="none" w:sz="0" w:space="0" w:color="auto"/>
                                                                                            <w:right w:val="none" w:sz="0" w:space="0" w:color="auto"/>
                                                                                          </w:divBdr>
                                                                                          <w:divsChild>
                                                                                            <w:div w:id="156773820">
                                                                                              <w:marLeft w:val="0"/>
                                                                                              <w:marRight w:val="0"/>
                                                                                              <w:marTop w:val="0"/>
                                                                                              <w:marBottom w:val="0"/>
                                                                                              <w:divBdr>
                                                                                                <w:top w:val="none" w:sz="0" w:space="0" w:color="auto"/>
                                                                                                <w:left w:val="none" w:sz="0" w:space="0" w:color="auto"/>
                                                                                                <w:bottom w:val="none" w:sz="0" w:space="0" w:color="auto"/>
                                                                                                <w:right w:val="none" w:sz="0" w:space="0" w:color="auto"/>
                                                                                              </w:divBdr>
                                                                                              <w:divsChild>
                                                                                                <w:div w:id="246304267">
                                                                                                  <w:marLeft w:val="0"/>
                                                                                                  <w:marRight w:val="0"/>
                                                                                                  <w:marTop w:val="0"/>
                                                                                                  <w:marBottom w:val="0"/>
                                                                                                  <w:divBdr>
                                                                                                    <w:top w:val="none" w:sz="0" w:space="0" w:color="auto"/>
                                                                                                    <w:left w:val="none" w:sz="0" w:space="0" w:color="auto"/>
                                                                                                    <w:bottom w:val="none" w:sz="0" w:space="0" w:color="auto"/>
                                                                                                    <w:right w:val="none" w:sz="0" w:space="0" w:color="auto"/>
                                                                                                  </w:divBdr>
                                                                                                  <w:divsChild>
                                                                                                    <w:div w:id="9647051">
                                                                                                      <w:marLeft w:val="0"/>
                                                                                                      <w:marRight w:val="0"/>
                                                                                                      <w:marTop w:val="0"/>
                                                                                                      <w:marBottom w:val="0"/>
                                                                                                      <w:divBdr>
                                                                                                        <w:top w:val="none" w:sz="0" w:space="0" w:color="auto"/>
                                                                                                        <w:left w:val="none" w:sz="0" w:space="0" w:color="auto"/>
                                                                                                        <w:bottom w:val="none" w:sz="0" w:space="0" w:color="auto"/>
                                                                                                        <w:right w:val="none" w:sz="0" w:space="0" w:color="auto"/>
                                                                                                      </w:divBdr>
                                                                                                      <w:divsChild>
                                                                                                        <w:div w:id="198777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8160">
                                                                                                  <w:marLeft w:val="0"/>
                                                                                                  <w:marRight w:val="0"/>
                                                                                                  <w:marTop w:val="0"/>
                                                                                                  <w:marBottom w:val="0"/>
                                                                                                  <w:divBdr>
                                                                                                    <w:top w:val="none" w:sz="0" w:space="0" w:color="auto"/>
                                                                                                    <w:left w:val="none" w:sz="0" w:space="0" w:color="auto"/>
                                                                                                    <w:bottom w:val="none" w:sz="0" w:space="0" w:color="auto"/>
                                                                                                    <w:right w:val="none" w:sz="0" w:space="0" w:color="auto"/>
                                                                                                  </w:divBdr>
                                                                                                  <w:divsChild>
                                                                                                    <w:div w:id="2037075908">
                                                                                                      <w:marLeft w:val="0"/>
                                                                                                      <w:marRight w:val="0"/>
                                                                                                      <w:marTop w:val="0"/>
                                                                                                      <w:marBottom w:val="0"/>
                                                                                                      <w:divBdr>
                                                                                                        <w:top w:val="none" w:sz="0" w:space="0" w:color="auto"/>
                                                                                                        <w:left w:val="none" w:sz="0" w:space="0" w:color="auto"/>
                                                                                                        <w:bottom w:val="none" w:sz="0" w:space="0" w:color="auto"/>
                                                                                                        <w:right w:val="none" w:sz="0" w:space="0" w:color="auto"/>
                                                                                                      </w:divBdr>
                                                                                                      <w:divsChild>
                                                                                                        <w:div w:id="117913220">
                                                                                                          <w:marLeft w:val="0"/>
                                                                                                          <w:marRight w:val="0"/>
                                                                                                          <w:marTop w:val="0"/>
                                                                                                          <w:marBottom w:val="0"/>
                                                                                                          <w:divBdr>
                                                                                                            <w:top w:val="none" w:sz="0" w:space="0" w:color="auto"/>
                                                                                                            <w:left w:val="none" w:sz="0" w:space="0" w:color="auto"/>
                                                                                                            <w:bottom w:val="none" w:sz="0" w:space="0" w:color="auto"/>
                                                                                                            <w:right w:val="none" w:sz="0" w:space="0" w:color="auto"/>
                                                                                                          </w:divBdr>
                                                                                                          <w:divsChild>
                                                                                                            <w:div w:id="283074717">
                                                                                                              <w:marLeft w:val="0"/>
                                                                                                              <w:marRight w:val="0"/>
                                                                                                              <w:marTop w:val="0"/>
                                                                                                              <w:marBottom w:val="0"/>
                                                                                                              <w:divBdr>
                                                                                                                <w:top w:val="none" w:sz="0" w:space="0" w:color="auto"/>
                                                                                                                <w:left w:val="none" w:sz="0" w:space="0" w:color="auto"/>
                                                                                                                <w:bottom w:val="none" w:sz="0" w:space="0" w:color="auto"/>
                                                                                                                <w:right w:val="none" w:sz="0" w:space="0" w:color="auto"/>
                                                                                                              </w:divBdr>
                                                                                                              <w:divsChild>
                                                                                                                <w:div w:id="1154108849">
                                                                                                                  <w:marLeft w:val="0"/>
                                                                                                                  <w:marRight w:val="0"/>
                                                                                                                  <w:marTop w:val="0"/>
                                                                                                                  <w:marBottom w:val="0"/>
                                                                                                                  <w:divBdr>
                                                                                                                    <w:top w:val="none" w:sz="0" w:space="0" w:color="auto"/>
                                                                                                                    <w:left w:val="none" w:sz="0" w:space="0" w:color="auto"/>
                                                                                                                    <w:bottom w:val="none" w:sz="0" w:space="0" w:color="auto"/>
                                                                                                                    <w:right w:val="none" w:sz="0" w:space="0" w:color="auto"/>
                                                                                                                  </w:divBdr>
                                                                                                                  <w:divsChild>
                                                                                                                    <w:div w:id="255675716">
                                                                                                                      <w:marLeft w:val="0"/>
                                                                                                                      <w:marRight w:val="0"/>
                                                                                                                      <w:marTop w:val="0"/>
                                                                                                                      <w:marBottom w:val="0"/>
                                                                                                                      <w:divBdr>
                                                                                                                        <w:top w:val="none" w:sz="0" w:space="0" w:color="auto"/>
                                                                                                                        <w:left w:val="none" w:sz="0" w:space="0" w:color="auto"/>
                                                                                                                        <w:bottom w:val="none" w:sz="0" w:space="0" w:color="auto"/>
                                                                                                                        <w:right w:val="none" w:sz="0" w:space="0" w:color="auto"/>
                                                                                                                      </w:divBdr>
                                                                                                                      <w:divsChild>
                                                                                                                        <w:div w:id="1446072866">
                                                                                                                          <w:marLeft w:val="0"/>
                                                                                                                          <w:marRight w:val="0"/>
                                                                                                                          <w:marTop w:val="0"/>
                                                                                                                          <w:marBottom w:val="0"/>
                                                                                                                          <w:divBdr>
                                                                                                                            <w:top w:val="none" w:sz="0" w:space="0" w:color="auto"/>
                                                                                                                            <w:left w:val="none" w:sz="0" w:space="0" w:color="auto"/>
                                                                                                                            <w:bottom w:val="none" w:sz="0" w:space="0" w:color="auto"/>
                                                                                                                            <w:right w:val="none" w:sz="0" w:space="0" w:color="auto"/>
                                                                                                                          </w:divBdr>
                                                                                                                          <w:divsChild>
                                                                                                                            <w:div w:id="1632636334">
                                                                                                                              <w:marLeft w:val="0"/>
                                                                                                                              <w:marRight w:val="0"/>
                                                                                                                              <w:marTop w:val="0"/>
                                                                                                                              <w:marBottom w:val="0"/>
                                                                                                                              <w:divBdr>
                                                                                                                                <w:top w:val="none" w:sz="0" w:space="0" w:color="auto"/>
                                                                                                                                <w:left w:val="none" w:sz="0" w:space="0" w:color="auto"/>
                                                                                                                                <w:bottom w:val="none" w:sz="0" w:space="0" w:color="auto"/>
                                                                                                                                <w:right w:val="none" w:sz="0" w:space="0" w:color="auto"/>
                                                                                                                              </w:divBdr>
                                                                                                                              <w:divsChild>
                                                                                                                                <w:div w:id="1523737332">
                                                                                                                                  <w:marLeft w:val="0"/>
                                                                                                                                  <w:marRight w:val="0"/>
                                                                                                                                  <w:marTop w:val="0"/>
                                                                                                                                  <w:marBottom w:val="0"/>
                                                                                                                                  <w:divBdr>
                                                                                                                                    <w:top w:val="none" w:sz="0" w:space="0" w:color="auto"/>
                                                                                                                                    <w:left w:val="none" w:sz="0" w:space="0" w:color="auto"/>
                                                                                                                                    <w:bottom w:val="none" w:sz="0" w:space="0" w:color="auto"/>
                                                                                                                                    <w:right w:val="none" w:sz="0" w:space="0" w:color="auto"/>
                                                                                                                                  </w:divBdr>
                                                                                                                                  <w:divsChild>
                                                                                                                                    <w:div w:id="1521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893677">
                                                                                                  <w:marLeft w:val="0"/>
                                                                                                  <w:marRight w:val="0"/>
                                                                                                  <w:marTop w:val="0"/>
                                                                                                  <w:marBottom w:val="0"/>
                                                                                                  <w:divBdr>
                                                                                                    <w:top w:val="none" w:sz="0" w:space="0" w:color="auto"/>
                                                                                                    <w:left w:val="none" w:sz="0" w:space="0" w:color="auto"/>
                                                                                                    <w:bottom w:val="none" w:sz="0" w:space="0" w:color="auto"/>
                                                                                                    <w:right w:val="none" w:sz="0" w:space="0" w:color="auto"/>
                                                                                                  </w:divBdr>
                                                                                                  <w:divsChild>
                                                                                                    <w:div w:id="915282431">
                                                                                                      <w:marLeft w:val="0"/>
                                                                                                      <w:marRight w:val="0"/>
                                                                                                      <w:marTop w:val="0"/>
                                                                                                      <w:marBottom w:val="0"/>
                                                                                                      <w:divBdr>
                                                                                                        <w:top w:val="none" w:sz="0" w:space="0" w:color="auto"/>
                                                                                                        <w:left w:val="none" w:sz="0" w:space="0" w:color="auto"/>
                                                                                                        <w:bottom w:val="none" w:sz="0" w:space="0" w:color="auto"/>
                                                                                                        <w:right w:val="none" w:sz="0" w:space="0" w:color="auto"/>
                                                                                                      </w:divBdr>
                                                                                                      <w:divsChild>
                                                                                                        <w:div w:id="213199933">
                                                                                                          <w:marLeft w:val="0"/>
                                                                                                          <w:marRight w:val="0"/>
                                                                                                          <w:marTop w:val="60"/>
                                                                                                          <w:marBottom w:val="60"/>
                                                                                                          <w:divBdr>
                                                                                                            <w:top w:val="none" w:sz="0" w:space="0" w:color="auto"/>
                                                                                                            <w:left w:val="none" w:sz="0" w:space="0" w:color="auto"/>
                                                                                                            <w:bottom w:val="none" w:sz="0" w:space="0" w:color="auto"/>
                                                                                                            <w:right w:val="none" w:sz="0" w:space="0" w:color="auto"/>
                                                                                                          </w:divBdr>
                                                                                                          <w:divsChild>
                                                                                                            <w:div w:id="3093251">
                                                                                                              <w:marLeft w:val="0"/>
                                                                                                              <w:marRight w:val="0"/>
                                                                                                              <w:marTop w:val="0"/>
                                                                                                              <w:marBottom w:val="0"/>
                                                                                                              <w:divBdr>
                                                                                                                <w:top w:val="none" w:sz="0" w:space="0" w:color="auto"/>
                                                                                                                <w:left w:val="none" w:sz="0" w:space="0" w:color="auto"/>
                                                                                                                <w:bottom w:val="none" w:sz="0" w:space="0" w:color="auto"/>
                                                                                                                <w:right w:val="none" w:sz="0" w:space="0" w:color="auto"/>
                                                                                                              </w:divBdr>
                                                                                                              <w:divsChild>
                                                                                                                <w:div w:id="1881283826">
                                                                                                                  <w:marLeft w:val="0"/>
                                                                                                                  <w:marRight w:val="0"/>
                                                                                                                  <w:marTop w:val="0"/>
                                                                                                                  <w:marBottom w:val="0"/>
                                                                                                                  <w:divBdr>
                                                                                                                    <w:top w:val="none" w:sz="0" w:space="0" w:color="auto"/>
                                                                                                                    <w:left w:val="none" w:sz="0" w:space="0" w:color="auto"/>
                                                                                                                    <w:bottom w:val="none" w:sz="0" w:space="0" w:color="auto"/>
                                                                                                                    <w:right w:val="none" w:sz="0" w:space="0" w:color="auto"/>
                                                                                                                  </w:divBdr>
                                                                                                                  <w:divsChild>
                                                                                                                    <w:div w:id="1566718796">
                                                                                                                      <w:marLeft w:val="0"/>
                                                                                                                      <w:marRight w:val="0"/>
                                                                                                                      <w:marTop w:val="0"/>
                                                                                                                      <w:marBottom w:val="0"/>
                                                                                                                      <w:divBdr>
                                                                                                                        <w:top w:val="none" w:sz="0" w:space="0" w:color="auto"/>
                                                                                                                        <w:left w:val="none" w:sz="0" w:space="0" w:color="auto"/>
                                                                                                                        <w:bottom w:val="none" w:sz="0" w:space="0" w:color="auto"/>
                                                                                                                        <w:right w:val="none" w:sz="0" w:space="0" w:color="auto"/>
                                                                                                                      </w:divBdr>
                                                                                                                      <w:divsChild>
                                                                                                                        <w:div w:id="255872018">
                                                                                                                          <w:marLeft w:val="0"/>
                                                                                                                          <w:marRight w:val="0"/>
                                                                                                                          <w:marTop w:val="0"/>
                                                                                                                          <w:marBottom w:val="0"/>
                                                                                                                          <w:divBdr>
                                                                                                                            <w:top w:val="none" w:sz="0" w:space="0" w:color="auto"/>
                                                                                                                            <w:left w:val="none" w:sz="0" w:space="0" w:color="auto"/>
                                                                                                                            <w:bottom w:val="none" w:sz="0" w:space="0" w:color="auto"/>
                                                                                                                            <w:right w:val="none" w:sz="0" w:space="0" w:color="auto"/>
                                                                                                                          </w:divBdr>
                                                                                                                          <w:divsChild>
                                                                                                                            <w:div w:id="2305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891268">
                                                                                              <w:marLeft w:val="0"/>
                                                                                              <w:marRight w:val="0"/>
                                                                                              <w:marTop w:val="0"/>
                                                                                              <w:marBottom w:val="0"/>
                                                                                              <w:divBdr>
                                                                                                <w:top w:val="none" w:sz="0" w:space="0" w:color="auto"/>
                                                                                                <w:left w:val="none" w:sz="0" w:space="0" w:color="auto"/>
                                                                                                <w:bottom w:val="none" w:sz="0" w:space="0" w:color="auto"/>
                                                                                                <w:right w:val="none" w:sz="0" w:space="0" w:color="auto"/>
                                                                                              </w:divBdr>
                                                                                              <w:divsChild>
                                                                                                <w:div w:id="711080701">
                                                                                                  <w:marLeft w:val="0"/>
                                                                                                  <w:marRight w:val="0"/>
                                                                                                  <w:marTop w:val="0"/>
                                                                                                  <w:marBottom w:val="0"/>
                                                                                                  <w:divBdr>
                                                                                                    <w:top w:val="none" w:sz="0" w:space="0" w:color="auto"/>
                                                                                                    <w:left w:val="none" w:sz="0" w:space="0" w:color="auto"/>
                                                                                                    <w:bottom w:val="none" w:sz="0" w:space="0" w:color="auto"/>
                                                                                                    <w:right w:val="none" w:sz="0" w:space="0" w:color="auto"/>
                                                                                                  </w:divBdr>
                                                                                                  <w:divsChild>
                                                                                                    <w:div w:id="1689257365">
                                                                                                      <w:marLeft w:val="0"/>
                                                                                                      <w:marRight w:val="0"/>
                                                                                                      <w:marTop w:val="0"/>
                                                                                                      <w:marBottom w:val="0"/>
                                                                                                      <w:divBdr>
                                                                                                        <w:top w:val="none" w:sz="0" w:space="0" w:color="auto"/>
                                                                                                        <w:left w:val="none" w:sz="0" w:space="0" w:color="auto"/>
                                                                                                        <w:bottom w:val="none" w:sz="0" w:space="0" w:color="auto"/>
                                                                                                        <w:right w:val="none" w:sz="0" w:space="0" w:color="auto"/>
                                                                                                      </w:divBdr>
                                                                                                      <w:divsChild>
                                                                                                        <w:div w:id="1027097310">
                                                                                                          <w:marLeft w:val="0"/>
                                                                                                          <w:marRight w:val="0"/>
                                                                                                          <w:marTop w:val="60"/>
                                                                                                          <w:marBottom w:val="60"/>
                                                                                                          <w:divBdr>
                                                                                                            <w:top w:val="none" w:sz="0" w:space="0" w:color="auto"/>
                                                                                                            <w:left w:val="none" w:sz="0" w:space="0" w:color="auto"/>
                                                                                                            <w:bottom w:val="none" w:sz="0" w:space="0" w:color="auto"/>
                                                                                                            <w:right w:val="none" w:sz="0" w:space="0" w:color="auto"/>
                                                                                                          </w:divBdr>
                                                                                                          <w:divsChild>
                                                                                                            <w:div w:id="1913540949">
                                                                                                              <w:marLeft w:val="0"/>
                                                                                                              <w:marRight w:val="0"/>
                                                                                                              <w:marTop w:val="0"/>
                                                                                                              <w:marBottom w:val="0"/>
                                                                                                              <w:divBdr>
                                                                                                                <w:top w:val="none" w:sz="0" w:space="0" w:color="auto"/>
                                                                                                                <w:left w:val="none" w:sz="0" w:space="0" w:color="auto"/>
                                                                                                                <w:bottom w:val="none" w:sz="0" w:space="0" w:color="auto"/>
                                                                                                                <w:right w:val="none" w:sz="0" w:space="0" w:color="auto"/>
                                                                                                              </w:divBdr>
                                                                                                              <w:divsChild>
                                                                                                                <w:div w:id="1931353693">
                                                                                                                  <w:marLeft w:val="0"/>
                                                                                                                  <w:marRight w:val="0"/>
                                                                                                                  <w:marTop w:val="0"/>
                                                                                                                  <w:marBottom w:val="0"/>
                                                                                                                  <w:divBdr>
                                                                                                                    <w:top w:val="none" w:sz="0" w:space="0" w:color="auto"/>
                                                                                                                    <w:left w:val="none" w:sz="0" w:space="0" w:color="auto"/>
                                                                                                                    <w:bottom w:val="none" w:sz="0" w:space="0" w:color="auto"/>
                                                                                                                    <w:right w:val="none" w:sz="0" w:space="0" w:color="auto"/>
                                                                                                                  </w:divBdr>
                                                                                                                  <w:divsChild>
                                                                                                                    <w:div w:id="1052844644">
                                                                                                                      <w:marLeft w:val="0"/>
                                                                                                                      <w:marRight w:val="0"/>
                                                                                                                      <w:marTop w:val="0"/>
                                                                                                                      <w:marBottom w:val="0"/>
                                                                                                                      <w:divBdr>
                                                                                                                        <w:top w:val="none" w:sz="0" w:space="0" w:color="auto"/>
                                                                                                                        <w:left w:val="none" w:sz="0" w:space="0" w:color="auto"/>
                                                                                                                        <w:bottom w:val="none" w:sz="0" w:space="0" w:color="auto"/>
                                                                                                                        <w:right w:val="none" w:sz="0" w:space="0" w:color="auto"/>
                                                                                                                      </w:divBdr>
                                                                                                                      <w:divsChild>
                                                                                                                        <w:div w:id="2118595719">
                                                                                                                          <w:marLeft w:val="0"/>
                                                                                                                          <w:marRight w:val="0"/>
                                                                                                                          <w:marTop w:val="0"/>
                                                                                                                          <w:marBottom w:val="0"/>
                                                                                                                          <w:divBdr>
                                                                                                                            <w:top w:val="none" w:sz="0" w:space="0" w:color="auto"/>
                                                                                                                            <w:left w:val="none" w:sz="0" w:space="0" w:color="auto"/>
                                                                                                                            <w:bottom w:val="none" w:sz="0" w:space="0" w:color="auto"/>
                                                                                                                            <w:right w:val="none" w:sz="0" w:space="0" w:color="auto"/>
                                                                                                                          </w:divBdr>
                                                                                                                          <w:divsChild>
                                                                                                                            <w:div w:id="19045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01703">
                                                                                                  <w:marLeft w:val="0"/>
                                                                                                  <w:marRight w:val="0"/>
                                                                                                  <w:marTop w:val="0"/>
                                                                                                  <w:marBottom w:val="0"/>
                                                                                                  <w:divBdr>
                                                                                                    <w:top w:val="none" w:sz="0" w:space="0" w:color="auto"/>
                                                                                                    <w:left w:val="none" w:sz="0" w:space="0" w:color="auto"/>
                                                                                                    <w:bottom w:val="none" w:sz="0" w:space="0" w:color="auto"/>
                                                                                                    <w:right w:val="none" w:sz="0" w:space="0" w:color="auto"/>
                                                                                                  </w:divBdr>
                                                                                                  <w:divsChild>
                                                                                                    <w:div w:id="1372222056">
                                                                                                      <w:marLeft w:val="0"/>
                                                                                                      <w:marRight w:val="0"/>
                                                                                                      <w:marTop w:val="0"/>
                                                                                                      <w:marBottom w:val="0"/>
                                                                                                      <w:divBdr>
                                                                                                        <w:top w:val="none" w:sz="0" w:space="0" w:color="auto"/>
                                                                                                        <w:left w:val="none" w:sz="0" w:space="0" w:color="auto"/>
                                                                                                        <w:bottom w:val="none" w:sz="0" w:space="0" w:color="auto"/>
                                                                                                        <w:right w:val="none" w:sz="0" w:space="0" w:color="auto"/>
                                                                                                      </w:divBdr>
                                                                                                      <w:divsChild>
                                                                                                        <w:div w:id="1652519469">
                                                                                                          <w:marLeft w:val="0"/>
                                                                                                          <w:marRight w:val="0"/>
                                                                                                          <w:marTop w:val="0"/>
                                                                                                          <w:marBottom w:val="0"/>
                                                                                                          <w:divBdr>
                                                                                                            <w:top w:val="none" w:sz="0" w:space="0" w:color="auto"/>
                                                                                                            <w:left w:val="none" w:sz="0" w:space="0" w:color="auto"/>
                                                                                                            <w:bottom w:val="none" w:sz="0" w:space="0" w:color="auto"/>
                                                                                                            <w:right w:val="none" w:sz="0" w:space="0" w:color="auto"/>
                                                                                                          </w:divBdr>
                                                                                                          <w:divsChild>
                                                                                                            <w:div w:id="385567615">
                                                                                                              <w:marLeft w:val="0"/>
                                                                                                              <w:marRight w:val="0"/>
                                                                                                              <w:marTop w:val="0"/>
                                                                                                              <w:marBottom w:val="0"/>
                                                                                                              <w:divBdr>
                                                                                                                <w:top w:val="none" w:sz="0" w:space="0" w:color="auto"/>
                                                                                                                <w:left w:val="none" w:sz="0" w:space="0" w:color="auto"/>
                                                                                                                <w:bottom w:val="none" w:sz="0" w:space="0" w:color="auto"/>
                                                                                                                <w:right w:val="none" w:sz="0" w:space="0" w:color="auto"/>
                                                                                                              </w:divBdr>
                                                                                                              <w:divsChild>
                                                                                                                <w:div w:id="2112121067">
                                                                                                                  <w:marLeft w:val="0"/>
                                                                                                                  <w:marRight w:val="0"/>
                                                                                                                  <w:marTop w:val="0"/>
                                                                                                                  <w:marBottom w:val="0"/>
                                                                                                                  <w:divBdr>
                                                                                                                    <w:top w:val="none" w:sz="0" w:space="0" w:color="auto"/>
                                                                                                                    <w:left w:val="none" w:sz="0" w:space="0" w:color="auto"/>
                                                                                                                    <w:bottom w:val="none" w:sz="0" w:space="0" w:color="auto"/>
                                                                                                                    <w:right w:val="none" w:sz="0" w:space="0" w:color="auto"/>
                                                                                                                  </w:divBdr>
                                                                                                                  <w:divsChild>
                                                                                                                    <w:div w:id="90128739">
                                                                                                                      <w:marLeft w:val="0"/>
                                                                                                                      <w:marRight w:val="0"/>
                                                                                                                      <w:marTop w:val="0"/>
                                                                                                                      <w:marBottom w:val="0"/>
                                                                                                                      <w:divBdr>
                                                                                                                        <w:top w:val="none" w:sz="0" w:space="0" w:color="auto"/>
                                                                                                                        <w:left w:val="none" w:sz="0" w:space="0" w:color="auto"/>
                                                                                                                        <w:bottom w:val="none" w:sz="0" w:space="0" w:color="auto"/>
                                                                                                                        <w:right w:val="none" w:sz="0" w:space="0" w:color="auto"/>
                                                                                                                      </w:divBdr>
                                                                                                                      <w:divsChild>
                                                                                                                        <w:div w:id="136532821">
                                                                                                                          <w:marLeft w:val="0"/>
                                                                                                                          <w:marRight w:val="0"/>
                                                                                                                          <w:marTop w:val="0"/>
                                                                                                                          <w:marBottom w:val="0"/>
                                                                                                                          <w:divBdr>
                                                                                                                            <w:top w:val="none" w:sz="0" w:space="0" w:color="auto"/>
                                                                                                                            <w:left w:val="none" w:sz="0" w:space="0" w:color="auto"/>
                                                                                                                            <w:bottom w:val="none" w:sz="0" w:space="0" w:color="auto"/>
                                                                                                                            <w:right w:val="none" w:sz="0" w:space="0" w:color="auto"/>
                                                                                                                          </w:divBdr>
                                                                                                                          <w:divsChild>
                                                                                                                            <w:div w:id="1649020836">
                                                                                                                              <w:marLeft w:val="0"/>
                                                                                                                              <w:marRight w:val="0"/>
                                                                                                                              <w:marTop w:val="0"/>
                                                                                                                              <w:marBottom w:val="0"/>
                                                                                                                              <w:divBdr>
                                                                                                                                <w:top w:val="none" w:sz="0" w:space="0" w:color="auto"/>
                                                                                                                                <w:left w:val="none" w:sz="0" w:space="0" w:color="auto"/>
                                                                                                                                <w:bottom w:val="none" w:sz="0" w:space="0" w:color="auto"/>
                                                                                                                                <w:right w:val="none" w:sz="0" w:space="0" w:color="auto"/>
                                                                                                                              </w:divBdr>
                                                                                                                              <w:divsChild>
                                                                                                                                <w:div w:id="832260050">
                                                                                                                                  <w:marLeft w:val="0"/>
                                                                                                                                  <w:marRight w:val="0"/>
                                                                                                                                  <w:marTop w:val="0"/>
                                                                                                                                  <w:marBottom w:val="0"/>
                                                                                                                                  <w:divBdr>
                                                                                                                                    <w:top w:val="none" w:sz="0" w:space="0" w:color="auto"/>
                                                                                                                                    <w:left w:val="none" w:sz="0" w:space="0" w:color="auto"/>
                                                                                                                                    <w:bottom w:val="none" w:sz="0" w:space="0" w:color="auto"/>
                                                                                                                                    <w:right w:val="none" w:sz="0" w:space="0" w:color="auto"/>
                                                                                                                                  </w:divBdr>
                                                                                                                                  <w:divsChild>
                                                                                                                                    <w:div w:id="1438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127681">
                                                                                                  <w:marLeft w:val="0"/>
                                                                                                  <w:marRight w:val="0"/>
                                                                                                  <w:marTop w:val="0"/>
                                                                                                  <w:marBottom w:val="0"/>
                                                                                                  <w:divBdr>
                                                                                                    <w:top w:val="none" w:sz="0" w:space="0" w:color="auto"/>
                                                                                                    <w:left w:val="none" w:sz="0" w:space="0" w:color="auto"/>
                                                                                                    <w:bottom w:val="none" w:sz="0" w:space="0" w:color="auto"/>
                                                                                                    <w:right w:val="none" w:sz="0" w:space="0" w:color="auto"/>
                                                                                                  </w:divBdr>
                                                                                                  <w:divsChild>
                                                                                                    <w:div w:id="1312710654">
                                                                                                      <w:marLeft w:val="0"/>
                                                                                                      <w:marRight w:val="0"/>
                                                                                                      <w:marTop w:val="0"/>
                                                                                                      <w:marBottom w:val="0"/>
                                                                                                      <w:divBdr>
                                                                                                        <w:top w:val="none" w:sz="0" w:space="0" w:color="auto"/>
                                                                                                        <w:left w:val="none" w:sz="0" w:space="0" w:color="auto"/>
                                                                                                        <w:bottom w:val="none" w:sz="0" w:space="0" w:color="auto"/>
                                                                                                        <w:right w:val="none" w:sz="0" w:space="0" w:color="auto"/>
                                                                                                      </w:divBdr>
                                                                                                      <w:divsChild>
                                                                                                        <w:div w:id="27710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8863209">
      <w:bodyDiv w:val="1"/>
      <w:marLeft w:val="0"/>
      <w:marRight w:val="0"/>
      <w:marTop w:val="0"/>
      <w:marBottom w:val="0"/>
      <w:divBdr>
        <w:top w:val="none" w:sz="0" w:space="0" w:color="auto"/>
        <w:left w:val="none" w:sz="0" w:space="0" w:color="auto"/>
        <w:bottom w:val="none" w:sz="0" w:space="0" w:color="auto"/>
        <w:right w:val="none" w:sz="0" w:space="0" w:color="auto"/>
      </w:divBdr>
    </w:div>
    <w:div w:id="1093284944">
      <w:bodyDiv w:val="1"/>
      <w:marLeft w:val="0"/>
      <w:marRight w:val="0"/>
      <w:marTop w:val="0"/>
      <w:marBottom w:val="0"/>
      <w:divBdr>
        <w:top w:val="none" w:sz="0" w:space="0" w:color="auto"/>
        <w:left w:val="none" w:sz="0" w:space="0" w:color="auto"/>
        <w:bottom w:val="none" w:sz="0" w:space="0" w:color="auto"/>
        <w:right w:val="none" w:sz="0" w:space="0" w:color="auto"/>
      </w:divBdr>
      <w:divsChild>
        <w:div w:id="855965761">
          <w:marLeft w:val="0"/>
          <w:marRight w:val="0"/>
          <w:marTop w:val="0"/>
          <w:marBottom w:val="0"/>
          <w:divBdr>
            <w:top w:val="none" w:sz="0" w:space="0" w:color="auto"/>
            <w:left w:val="none" w:sz="0" w:space="0" w:color="auto"/>
            <w:bottom w:val="none" w:sz="0" w:space="0" w:color="auto"/>
            <w:right w:val="none" w:sz="0" w:space="0" w:color="auto"/>
          </w:divBdr>
          <w:divsChild>
            <w:div w:id="1091245142">
              <w:marLeft w:val="0"/>
              <w:marRight w:val="0"/>
              <w:marTop w:val="0"/>
              <w:marBottom w:val="0"/>
              <w:divBdr>
                <w:top w:val="none" w:sz="0" w:space="0" w:color="auto"/>
                <w:left w:val="none" w:sz="0" w:space="0" w:color="auto"/>
                <w:bottom w:val="none" w:sz="0" w:space="0" w:color="auto"/>
                <w:right w:val="none" w:sz="0" w:space="0" w:color="auto"/>
              </w:divBdr>
            </w:div>
          </w:divsChild>
        </w:div>
        <w:div w:id="1750079892">
          <w:marLeft w:val="0"/>
          <w:marRight w:val="0"/>
          <w:marTop w:val="0"/>
          <w:marBottom w:val="0"/>
          <w:divBdr>
            <w:top w:val="none" w:sz="0" w:space="0" w:color="auto"/>
            <w:left w:val="none" w:sz="0" w:space="0" w:color="auto"/>
            <w:bottom w:val="none" w:sz="0" w:space="0" w:color="auto"/>
            <w:right w:val="none" w:sz="0" w:space="0" w:color="auto"/>
          </w:divBdr>
          <w:divsChild>
            <w:div w:id="123890138">
              <w:marLeft w:val="420"/>
              <w:marRight w:val="0"/>
              <w:marTop w:val="180"/>
              <w:marBottom w:val="120"/>
              <w:divBdr>
                <w:top w:val="none" w:sz="0" w:space="0" w:color="auto"/>
                <w:left w:val="none" w:sz="0" w:space="0" w:color="auto"/>
                <w:bottom w:val="none" w:sz="0" w:space="0" w:color="auto"/>
                <w:right w:val="none" w:sz="0" w:space="0" w:color="auto"/>
              </w:divBdr>
            </w:div>
            <w:div w:id="1904750348">
              <w:marLeft w:val="0"/>
              <w:marRight w:val="0"/>
              <w:marTop w:val="0"/>
              <w:marBottom w:val="0"/>
              <w:divBdr>
                <w:top w:val="none" w:sz="0" w:space="0" w:color="auto"/>
                <w:left w:val="none" w:sz="0" w:space="0" w:color="auto"/>
                <w:bottom w:val="none" w:sz="0" w:space="0" w:color="auto"/>
                <w:right w:val="none" w:sz="0" w:space="0" w:color="auto"/>
              </w:divBdr>
              <w:divsChild>
                <w:div w:id="144469156">
                  <w:marLeft w:val="0"/>
                  <w:marRight w:val="0"/>
                  <w:marTop w:val="0"/>
                  <w:marBottom w:val="0"/>
                  <w:divBdr>
                    <w:top w:val="none" w:sz="0" w:space="0" w:color="auto"/>
                    <w:left w:val="none" w:sz="0" w:space="0" w:color="auto"/>
                    <w:bottom w:val="none" w:sz="0" w:space="0" w:color="auto"/>
                    <w:right w:val="none" w:sz="0" w:space="0" w:color="auto"/>
                  </w:divBdr>
                  <w:divsChild>
                    <w:div w:id="1381711746">
                      <w:marLeft w:val="0"/>
                      <w:marRight w:val="0"/>
                      <w:marTop w:val="0"/>
                      <w:marBottom w:val="0"/>
                      <w:divBdr>
                        <w:top w:val="none" w:sz="0" w:space="0" w:color="auto"/>
                        <w:left w:val="none" w:sz="0" w:space="0" w:color="auto"/>
                        <w:bottom w:val="none" w:sz="0" w:space="0" w:color="auto"/>
                        <w:right w:val="none" w:sz="0" w:space="0" w:color="auto"/>
                      </w:divBdr>
                      <w:divsChild>
                        <w:div w:id="1883783888">
                          <w:marLeft w:val="0"/>
                          <w:marRight w:val="0"/>
                          <w:marTop w:val="0"/>
                          <w:marBottom w:val="0"/>
                          <w:divBdr>
                            <w:top w:val="none" w:sz="0" w:space="0" w:color="auto"/>
                            <w:left w:val="none" w:sz="0" w:space="0" w:color="auto"/>
                            <w:bottom w:val="none" w:sz="0" w:space="0" w:color="auto"/>
                            <w:right w:val="none" w:sz="0" w:space="0" w:color="auto"/>
                          </w:divBdr>
                          <w:divsChild>
                            <w:div w:id="1622691401">
                              <w:marLeft w:val="0"/>
                              <w:marRight w:val="0"/>
                              <w:marTop w:val="0"/>
                              <w:marBottom w:val="0"/>
                              <w:divBdr>
                                <w:top w:val="none" w:sz="0" w:space="0" w:color="auto"/>
                                <w:left w:val="none" w:sz="0" w:space="0" w:color="auto"/>
                                <w:bottom w:val="none" w:sz="0" w:space="0" w:color="auto"/>
                                <w:right w:val="none" w:sz="0" w:space="0" w:color="auto"/>
                              </w:divBdr>
                              <w:divsChild>
                                <w:div w:id="6401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938177">
      <w:bodyDiv w:val="1"/>
      <w:marLeft w:val="0"/>
      <w:marRight w:val="0"/>
      <w:marTop w:val="0"/>
      <w:marBottom w:val="0"/>
      <w:divBdr>
        <w:top w:val="none" w:sz="0" w:space="0" w:color="auto"/>
        <w:left w:val="none" w:sz="0" w:space="0" w:color="auto"/>
        <w:bottom w:val="none" w:sz="0" w:space="0" w:color="auto"/>
        <w:right w:val="none" w:sz="0" w:space="0" w:color="auto"/>
      </w:divBdr>
    </w:div>
    <w:div w:id="1118139372">
      <w:bodyDiv w:val="1"/>
      <w:marLeft w:val="0"/>
      <w:marRight w:val="0"/>
      <w:marTop w:val="0"/>
      <w:marBottom w:val="0"/>
      <w:divBdr>
        <w:top w:val="none" w:sz="0" w:space="0" w:color="auto"/>
        <w:left w:val="none" w:sz="0" w:space="0" w:color="auto"/>
        <w:bottom w:val="none" w:sz="0" w:space="0" w:color="auto"/>
        <w:right w:val="none" w:sz="0" w:space="0" w:color="auto"/>
      </w:divBdr>
    </w:div>
    <w:div w:id="1172917784">
      <w:bodyDiv w:val="1"/>
      <w:marLeft w:val="0"/>
      <w:marRight w:val="0"/>
      <w:marTop w:val="0"/>
      <w:marBottom w:val="0"/>
      <w:divBdr>
        <w:top w:val="none" w:sz="0" w:space="0" w:color="auto"/>
        <w:left w:val="none" w:sz="0" w:space="0" w:color="auto"/>
        <w:bottom w:val="none" w:sz="0" w:space="0" w:color="auto"/>
        <w:right w:val="none" w:sz="0" w:space="0" w:color="auto"/>
      </w:divBdr>
    </w:div>
    <w:div w:id="1191917310">
      <w:bodyDiv w:val="1"/>
      <w:marLeft w:val="0"/>
      <w:marRight w:val="0"/>
      <w:marTop w:val="0"/>
      <w:marBottom w:val="0"/>
      <w:divBdr>
        <w:top w:val="none" w:sz="0" w:space="0" w:color="auto"/>
        <w:left w:val="none" w:sz="0" w:space="0" w:color="auto"/>
        <w:bottom w:val="none" w:sz="0" w:space="0" w:color="auto"/>
        <w:right w:val="none" w:sz="0" w:space="0" w:color="auto"/>
      </w:divBdr>
    </w:div>
    <w:div w:id="1195851579">
      <w:bodyDiv w:val="1"/>
      <w:marLeft w:val="0"/>
      <w:marRight w:val="0"/>
      <w:marTop w:val="0"/>
      <w:marBottom w:val="0"/>
      <w:divBdr>
        <w:top w:val="none" w:sz="0" w:space="0" w:color="auto"/>
        <w:left w:val="none" w:sz="0" w:space="0" w:color="auto"/>
        <w:bottom w:val="none" w:sz="0" w:space="0" w:color="auto"/>
        <w:right w:val="none" w:sz="0" w:space="0" w:color="auto"/>
      </w:divBdr>
    </w:div>
    <w:div w:id="1198734760">
      <w:bodyDiv w:val="1"/>
      <w:marLeft w:val="0"/>
      <w:marRight w:val="0"/>
      <w:marTop w:val="0"/>
      <w:marBottom w:val="0"/>
      <w:divBdr>
        <w:top w:val="none" w:sz="0" w:space="0" w:color="auto"/>
        <w:left w:val="none" w:sz="0" w:space="0" w:color="auto"/>
        <w:bottom w:val="none" w:sz="0" w:space="0" w:color="auto"/>
        <w:right w:val="none" w:sz="0" w:space="0" w:color="auto"/>
      </w:divBdr>
    </w:div>
    <w:div w:id="1214776968">
      <w:bodyDiv w:val="1"/>
      <w:marLeft w:val="0"/>
      <w:marRight w:val="0"/>
      <w:marTop w:val="0"/>
      <w:marBottom w:val="0"/>
      <w:divBdr>
        <w:top w:val="none" w:sz="0" w:space="0" w:color="auto"/>
        <w:left w:val="none" w:sz="0" w:space="0" w:color="auto"/>
        <w:bottom w:val="none" w:sz="0" w:space="0" w:color="auto"/>
        <w:right w:val="none" w:sz="0" w:space="0" w:color="auto"/>
      </w:divBdr>
    </w:div>
    <w:div w:id="1221287285">
      <w:bodyDiv w:val="1"/>
      <w:marLeft w:val="0"/>
      <w:marRight w:val="0"/>
      <w:marTop w:val="0"/>
      <w:marBottom w:val="0"/>
      <w:divBdr>
        <w:top w:val="none" w:sz="0" w:space="0" w:color="auto"/>
        <w:left w:val="none" w:sz="0" w:space="0" w:color="auto"/>
        <w:bottom w:val="none" w:sz="0" w:space="0" w:color="auto"/>
        <w:right w:val="none" w:sz="0" w:space="0" w:color="auto"/>
      </w:divBdr>
    </w:div>
    <w:div w:id="1230188268">
      <w:bodyDiv w:val="1"/>
      <w:marLeft w:val="0"/>
      <w:marRight w:val="0"/>
      <w:marTop w:val="0"/>
      <w:marBottom w:val="0"/>
      <w:divBdr>
        <w:top w:val="none" w:sz="0" w:space="0" w:color="auto"/>
        <w:left w:val="none" w:sz="0" w:space="0" w:color="auto"/>
        <w:bottom w:val="none" w:sz="0" w:space="0" w:color="auto"/>
        <w:right w:val="none" w:sz="0" w:space="0" w:color="auto"/>
      </w:divBdr>
      <w:divsChild>
        <w:div w:id="250740778">
          <w:marLeft w:val="0"/>
          <w:marRight w:val="0"/>
          <w:marTop w:val="0"/>
          <w:marBottom w:val="0"/>
          <w:divBdr>
            <w:top w:val="none" w:sz="0" w:space="0" w:color="auto"/>
            <w:left w:val="none" w:sz="0" w:space="0" w:color="auto"/>
            <w:bottom w:val="none" w:sz="0" w:space="0" w:color="auto"/>
            <w:right w:val="none" w:sz="0" w:space="0" w:color="auto"/>
          </w:divBdr>
          <w:divsChild>
            <w:div w:id="786311168">
              <w:marLeft w:val="0"/>
              <w:marRight w:val="0"/>
              <w:marTop w:val="0"/>
              <w:marBottom w:val="0"/>
              <w:divBdr>
                <w:top w:val="none" w:sz="0" w:space="0" w:color="auto"/>
                <w:left w:val="none" w:sz="0" w:space="0" w:color="auto"/>
                <w:bottom w:val="none" w:sz="0" w:space="0" w:color="auto"/>
                <w:right w:val="none" w:sz="0" w:space="0" w:color="auto"/>
              </w:divBdr>
              <w:divsChild>
                <w:div w:id="25761074">
                  <w:marLeft w:val="0"/>
                  <w:marRight w:val="0"/>
                  <w:marTop w:val="0"/>
                  <w:marBottom w:val="0"/>
                  <w:divBdr>
                    <w:top w:val="none" w:sz="0" w:space="0" w:color="auto"/>
                    <w:left w:val="none" w:sz="0" w:space="0" w:color="auto"/>
                    <w:bottom w:val="none" w:sz="0" w:space="0" w:color="auto"/>
                    <w:right w:val="none" w:sz="0" w:space="0" w:color="auto"/>
                  </w:divBdr>
                  <w:divsChild>
                    <w:div w:id="9681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94702">
      <w:bodyDiv w:val="1"/>
      <w:marLeft w:val="0"/>
      <w:marRight w:val="0"/>
      <w:marTop w:val="0"/>
      <w:marBottom w:val="0"/>
      <w:divBdr>
        <w:top w:val="none" w:sz="0" w:space="0" w:color="auto"/>
        <w:left w:val="none" w:sz="0" w:space="0" w:color="auto"/>
        <w:bottom w:val="none" w:sz="0" w:space="0" w:color="auto"/>
        <w:right w:val="none" w:sz="0" w:space="0" w:color="auto"/>
      </w:divBdr>
    </w:div>
    <w:div w:id="1261182630">
      <w:bodyDiv w:val="1"/>
      <w:marLeft w:val="0"/>
      <w:marRight w:val="0"/>
      <w:marTop w:val="0"/>
      <w:marBottom w:val="0"/>
      <w:divBdr>
        <w:top w:val="none" w:sz="0" w:space="0" w:color="auto"/>
        <w:left w:val="none" w:sz="0" w:space="0" w:color="auto"/>
        <w:bottom w:val="none" w:sz="0" w:space="0" w:color="auto"/>
        <w:right w:val="none" w:sz="0" w:space="0" w:color="auto"/>
      </w:divBdr>
    </w:div>
    <w:div w:id="1261261962">
      <w:bodyDiv w:val="1"/>
      <w:marLeft w:val="0"/>
      <w:marRight w:val="0"/>
      <w:marTop w:val="0"/>
      <w:marBottom w:val="0"/>
      <w:divBdr>
        <w:top w:val="none" w:sz="0" w:space="0" w:color="auto"/>
        <w:left w:val="none" w:sz="0" w:space="0" w:color="auto"/>
        <w:bottom w:val="none" w:sz="0" w:space="0" w:color="auto"/>
        <w:right w:val="none" w:sz="0" w:space="0" w:color="auto"/>
      </w:divBdr>
    </w:div>
    <w:div w:id="1262645298">
      <w:bodyDiv w:val="1"/>
      <w:marLeft w:val="0"/>
      <w:marRight w:val="0"/>
      <w:marTop w:val="0"/>
      <w:marBottom w:val="0"/>
      <w:divBdr>
        <w:top w:val="none" w:sz="0" w:space="0" w:color="auto"/>
        <w:left w:val="none" w:sz="0" w:space="0" w:color="auto"/>
        <w:bottom w:val="none" w:sz="0" w:space="0" w:color="auto"/>
        <w:right w:val="none" w:sz="0" w:space="0" w:color="auto"/>
      </w:divBdr>
    </w:div>
    <w:div w:id="1280718974">
      <w:bodyDiv w:val="1"/>
      <w:marLeft w:val="0"/>
      <w:marRight w:val="0"/>
      <w:marTop w:val="0"/>
      <w:marBottom w:val="0"/>
      <w:divBdr>
        <w:top w:val="none" w:sz="0" w:space="0" w:color="auto"/>
        <w:left w:val="none" w:sz="0" w:space="0" w:color="auto"/>
        <w:bottom w:val="none" w:sz="0" w:space="0" w:color="auto"/>
        <w:right w:val="none" w:sz="0" w:space="0" w:color="auto"/>
      </w:divBdr>
    </w:div>
    <w:div w:id="1311901848">
      <w:bodyDiv w:val="1"/>
      <w:marLeft w:val="0"/>
      <w:marRight w:val="0"/>
      <w:marTop w:val="0"/>
      <w:marBottom w:val="0"/>
      <w:divBdr>
        <w:top w:val="none" w:sz="0" w:space="0" w:color="auto"/>
        <w:left w:val="none" w:sz="0" w:space="0" w:color="auto"/>
        <w:bottom w:val="none" w:sz="0" w:space="0" w:color="auto"/>
        <w:right w:val="none" w:sz="0" w:space="0" w:color="auto"/>
      </w:divBdr>
    </w:div>
    <w:div w:id="1338069950">
      <w:bodyDiv w:val="1"/>
      <w:marLeft w:val="0"/>
      <w:marRight w:val="0"/>
      <w:marTop w:val="0"/>
      <w:marBottom w:val="0"/>
      <w:divBdr>
        <w:top w:val="none" w:sz="0" w:space="0" w:color="auto"/>
        <w:left w:val="none" w:sz="0" w:space="0" w:color="auto"/>
        <w:bottom w:val="none" w:sz="0" w:space="0" w:color="auto"/>
        <w:right w:val="none" w:sz="0" w:space="0" w:color="auto"/>
      </w:divBdr>
    </w:div>
    <w:div w:id="1393965740">
      <w:bodyDiv w:val="1"/>
      <w:marLeft w:val="0"/>
      <w:marRight w:val="0"/>
      <w:marTop w:val="0"/>
      <w:marBottom w:val="0"/>
      <w:divBdr>
        <w:top w:val="none" w:sz="0" w:space="0" w:color="auto"/>
        <w:left w:val="none" w:sz="0" w:space="0" w:color="auto"/>
        <w:bottom w:val="none" w:sz="0" w:space="0" w:color="auto"/>
        <w:right w:val="none" w:sz="0" w:space="0" w:color="auto"/>
      </w:divBdr>
      <w:divsChild>
        <w:div w:id="2071952258">
          <w:marLeft w:val="0"/>
          <w:marRight w:val="0"/>
          <w:marTop w:val="0"/>
          <w:marBottom w:val="0"/>
          <w:divBdr>
            <w:top w:val="none" w:sz="0" w:space="0" w:color="auto"/>
            <w:left w:val="none" w:sz="0" w:space="0" w:color="auto"/>
            <w:bottom w:val="none" w:sz="0" w:space="0" w:color="auto"/>
            <w:right w:val="none" w:sz="0" w:space="0" w:color="auto"/>
          </w:divBdr>
          <w:divsChild>
            <w:div w:id="424964654">
              <w:marLeft w:val="0"/>
              <w:marRight w:val="0"/>
              <w:marTop w:val="0"/>
              <w:marBottom w:val="0"/>
              <w:divBdr>
                <w:top w:val="none" w:sz="0" w:space="0" w:color="auto"/>
                <w:left w:val="none" w:sz="0" w:space="0" w:color="auto"/>
                <w:bottom w:val="none" w:sz="0" w:space="0" w:color="auto"/>
                <w:right w:val="none" w:sz="0" w:space="0" w:color="auto"/>
              </w:divBdr>
              <w:divsChild>
                <w:div w:id="765421789">
                  <w:marLeft w:val="0"/>
                  <w:marRight w:val="0"/>
                  <w:marTop w:val="0"/>
                  <w:marBottom w:val="0"/>
                  <w:divBdr>
                    <w:top w:val="none" w:sz="0" w:space="0" w:color="auto"/>
                    <w:left w:val="none" w:sz="0" w:space="0" w:color="auto"/>
                    <w:bottom w:val="none" w:sz="0" w:space="0" w:color="auto"/>
                    <w:right w:val="none" w:sz="0" w:space="0" w:color="auto"/>
                  </w:divBdr>
                  <w:divsChild>
                    <w:div w:id="7098228">
                      <w:marLeft w:val="0"/>
                      <w:marRight w:val="0"/>
                      <w:marTop w:val="0"/>
                      <w:marBottom w:val="0"/>
                      <w:divBdr>
                        <w:top w:val="none" w:sz="0" w:space="0" w:color="auto"/>
                        <w:left w:val="none" w:sz="0" w:space="0" w:color="auto"/>
                        <w:bottom w:val="none" w:sz="0" w:space="0" w:color="auto"/>
                        <w:right w:val="none" w:sz="0" w:space="0" w:color="auto"/>
                      </w:divBdr>
                      <w:divsChild>
                        <w:div w:id="224726418">
                          <w:marLeft w:val="0"/>
                          <w:marRight w:val="0"/>
                          <w:marTop w:val="0"/>
                          <w:marBottom w:val="0"/>
                          <w:divBdr>
                            <w:top w:val="none" w:sz="0" w:space="0" w:color="auto"/>
                            <w:left w:val="none" w:sz="0" w:space="0" w:color="auto"/>
                            <w:bottom w:val="none" w:sz="0" w:space="0" w:color="auto"/>
                            <w:right w:val="none" w:sz="0" w:space="0" w:color="auto"/>
                          </w:divBdr>
                          <w:divsChild>
                            <w:div w:id="2087804338">
                              <w:marLeft w:val="0"/>
                              <w:marRight w:val="0"/>
                              <w:marTop w:val="0"/>
                              <w:marBottom w:val="0"/>
                              <w:divBdr>
                                <w:top w:val="none" w:sz="0" w:space="0" w:color="auto"/>
                                <w:left w:val="none" w:sz="0" w:space="0" w:color="auto"/>
                                <w:bottom w:val="none" w:sz="0" w:space="0" w:color="auto"/>
                                <w:right w:val="none" w:sz="0" w:space="0" w:color="auto"/>
                              </w:divBdr>
                              <w:divsChild>
                                <w:div w:id="1828983152">
                                  <w:marLeft w:val="0"/>
                                  <w:marRight w:val="0"/>
                                  <w:marTop w:val="0"/>
                                  <w:marBottom w:val="0"/>
                                  <w:divBdr>
                                    <w:top w:val="none" w:sz="0" w:space="0" w:color="auto"/>
                                    <w:left w:val="none" w:sz="0" w:space="0" w:color="auto"/>
                                    <w:bottom w:val="none" w:sz="0" w:space="0" w:color="auto"/>
                                    <w:right w:val="none" w:sz="0" w:space="0" w:color="auto"/>
                                  </w:divBdr>
                                  <w:divsChild>
                                    <w:div w:id="6150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446872">
                          <w:marLeft w:val="0"/>
                          <w:marRight w:val="0"/>
                          <w:marTop w:val="0"/>
                          <w:marBottom w:val="0"/>
                          <w:divBdr>
                            <w:top w:val="none" w:sz="0" w:space="0" w:color="auto"/>
                            <w:left w:val="none" w:sz="0" w:space="0" w:color="auto"/>
                            <w:bottom w:val="none" w:sz="0" w:space="0" w:color="auto"/>
                            <w:right w:val="none" w:sz="0" w:space="0" w:color="auto"/>
                          </w:divBdr>
                          <w:divsChild>
                            <w:div w:id="2118792705">
                              <w:marLeft w:val="0"/>
                              <w:marRight w:val="0"/>
                              <w:marTop w:val="0"/>
                              <w:marBottom w:val="0"/>
                              <w:divBdr>
                                <w:top w:val="none" w:sz="0" w:space="0" w:color="auto"/>
                                <w:left w:val="none" w:sz="0" w:space="0" w:color="auto"/>
                                <w:bottom w:val="none" w:sz="0" w:space="0" w:color="auto"/>
                                <w:right w:val="none" w:sz="0" w:space="0" w:color="auto"/>
                              </w:divBdr>
                              <w:divsChild>
                                <w:div w:id="6859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915455">
      <w:bodyDiv w:val="1"/>
      <w:marLeft w:val="0"/>
      <w:marRight w:val="0"/>
      <w:marTop w:val="0"/>
      <w:marBottom w:val="0"/>
      <w:divBdr>
        <w:top w:val="none" w:sz="0" w:space="0" w:color="auto"/>
        <w:left w:val="none" w:sz="0" w:space="0" w:color="auto"/>
        <w:bottom w:val="none" w:sz="0" w:space="0" w:color="auto"/>
        <w:right w:val="none" w:sz="0" w:space="0" w:color="auto"/>
      </w:divBdr>
    </w:div>
    <w:div w:id="1408073096">
      <w:bodyDiv w:val="1"/>
      <w:marLeft w:val="0"/>
      <w:marRight w:val="0"/>
      <w:marTop w:val="0"/>
      <w:marBottom w:val="0"/>
      <w:divBdr>
        <w:top w:val="none" w:sz="0" w:space="0" w:color="auto"/>
        <w:left w:val="none" w:sz="0" w:space="0" w:color="auto"/>
        <w:bottom w:val="none" w:sz="0" w:space="0" w:color="auto"/>
        <w:right w:val="none" w:sz="0" w:space="0" w:color="auto"/>
      </w:divBdr>
    </w:div>
    <w:div w:id="1449276350">
      <w:bodyDiv w:val="1"/>
      <w:marLeft w:val="0"/>
      <w:marRight w:val="0"/>
      <w:marTop w:val="0"/>
      <w:marBottom w:val="0"/>
      <w:divBdr>
        <w:top w:val="none" w:sz="0" w:space="0" w:color="auto"/>
        <w:left w:val="none" w:sz="0" w:space="0" w:color="auto"/>
        <w:bottom w:val="none" w:sz="0" w:space="0" w:color="auto"/>
        <w:right w:val="none" w:sz="0" w:space="0" w:color="auto"/>
      </w:divBdr>
    </w:div>
    <w:div w:id="1450978439">
      <w:bodyDiv w:val="1"/>
      <w:marLeft w:val="0"/>
      <w:marRight w:val="0"/>
      <w:marTop w:val="0"/>
      <w:marBottom w:val="0"/>
      <w:divBdr>
        <w:top w:val="none" w:sz="0" w:space="0" w:color="auto"/>
        <w:left w:val="none" w:sz="0" w:space="0" w:color="auto"/>
        <w:bottom w:val="none" w:sz="0" w:space="0" w:color="auto"/>
        <w:right w:val="none" w:sz="0" w:space="0" w:color="auto"/>
      </w:divBdr>
    </w:div>
    <w:div w:id="1464351133">
      <w:bodyDiv w:val="1"/>
      <w:marLeft w:val="0"/>
      <w:marRight w:val="0"/>
      <w:marTop w:val="0"/>
      <w:marBottom w:val="0"/>
      <w:divBdr>
        <w:top w:val="none" w:sz="0" w:space="0" w:color="auto"/>
        <w:left w:val="none" w:sz="0" w:space="0" w:color="auto"/>
        <w:bottom w:val="none" w:sz="0" w:space="0" w:color="auto"/>
        <w:right w:val="none" w:sz="0" w:space="0" w:color="auto"/>
      </w:divBdr>
    </w:div>
    <w:div w:id="1473909300">
      <w:bodyDiv w:val="1"/>
      <w:marLeft w:val="0"/>
      <w:marRight w:val="0"/>
      <w:marTop w:val="0"/>
      <w:marBottom w:val="0"/>
      <w:divBdr>
        <w:top w:val="none" w:sz="0" w:space="0" w:color="auto"/>
        <w:left w:val="none" w:sz="0" w:space="0" w:color="auto"/>
        <w:bottom w:val="none" w:sz="0" w:space="0" w:color="auto"/>
        <w:right w:val="none" w:sz="0" w:space="0" w:color="auto"/>
      </w:divBdr>
      <w:divsChild>
        <w:div w:id="211952612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74449925">
      <w:bodyDiv w:val="1"/>
      <w:marLeft w:val="0"/>
      <w:marRight w:val="0"/>
      <w:marTop w:val="0"/>
      <w:marBottom w:val="0"/>
      <w:divBdr>
        <w:top w:val="none" w:sz="0" w:space="0" w:color="auto"/>
        <w:left w:val="none" w:sz="0" w:space="0" w:color="auto"/>
        <w:bottom w:val="none" w:sz="0" w:space="0" w:color="auto"/>
        <w:right w:val="none" w:sz="0" w:space="0" w:color="auto"/>
      </w:divBdr>
    </w:div>
    <w:div w:id="1475758813">
      <w:bodyDiv w:val="1"/>
      <w:marLeft w:val="0"/>
      <w:marRight w:val="0"/>
      <w:marTop w:val="0"/>
      <w:marBottom w:val="0"/>
      <w:divBdr>
        <w:top w:val="none" w:sz="0" w:space="0" w:color="auto"/>
        <w:left w:val="none" w:sz="0" w:space="0" w:color="auto"/>
        <w:bottom w:val="none" w:sz="0" w:space="0" w:color="auto"/>
        <w:right w:val="none" w:sz="0" w:space="0" w:color="auto"/>
      </w:divBdr>
    </w:div>
    <w:div w:id="1495728899">
      <w:bodyDiv w:val="1"/>
      <w:marLeft w:val="0"/>
      <w:marRight w:val="0"/>
      <w:marTop w:val="0"/>
      <w:marBottom w:val="0"/>
      <w:divBdr>
        <w:top w:val="none" w:sz="0" w:space="0" w:color="auto"/>
        <w:left w:val="none" w:sz="0" w:space="0" w:color="auto"/>
        <w:bottom w:val="none" w:sz="0" w:space="0" w:color="auto"/>
        <w:right w:val="none" w:sz="0" w:space="0" w:color="auto"/>
      </w:divBdr>
    </w:div>
    <w:div w:id="1498426855">
      <w:bodyDiv w:val="1"/>
      <w:marLeft w:val="0"/>
      <w:marRight w:val="0"/>
      <w:marTop w:val="0"/>
      <w:marBottom w:val="0"/>
      <w:divBdr>
        <w:top w:val="none" w:sz="0" w:space="0" w:color="auto"/>
        <w:left w:val="none" w:sz="0" w:space="0" w:color="auto"/>
        <w:bottom w:val="none" w:sz="0" w:space="0" w:color="auto"/>
        <w:right w:val="none" w:sz="0" w:space="0" w:color="auto"/>
      </w:divBdr>
    </w:div>
    <w:div w:id="1510100884">
      <w:bodyDiv w:val="1"/>
      <w:marLeft w:val="0"/>
      <w:marRight w:val="0"/>
      <w:marTop w:val="0"/>
      <w:marBottom w:val="0"/>
      <w:divBdr>
        <w:top w:val="none" w:sz="0" w:space="0" w:color="auto"/>
        <w:left w:val="none" w:sz="0" w:space="0" w:color="auto"/>
        <w:bottom w:val="none" w:sz="0" w:space="0" w:color="auto"/>
        <w:right w:val="none" w:sz="0" w:space="0" w:color="auto"/>
      </w:divBdr>
    </w:div>
    <w:div w:id="1520971688">
      <w:bodyDiv w:val="1"/>
      <w:marLeft w:val="0"/>
      <w:marRight w:val="0"/>
      <w:marTop w:val="0"/>
      <w:marBottom w:val="0"/>
      <w:divBdr>
        <w:top w:val="none" w:sz="0" w:space="0" w:color="auto"/>
        <w:left w:val="none" w:sz="0" w:space="0" w:color="auto"/>
        <w:bottom w:val="none" w:sz="0" w:space="0" w:color="auto"/>
        <w:right w:val="none" w:sz="0" w:space="0" w:color="auto"/>
      </w:divBdr>
    </w:div>
    <w:div w:id="1542130954">
      <w:bodyDiv w:val="1"/>
      <w:marLeft w:val="0"/>
      <w:marRight w:val="0"/>
      <w:marTop w:val="0"/>
      <w:marBottom w:val="0"/>
      <w:divBdr>
        <w:top w:val="none" w:sz="0" w:space="0" w:color="auto"/>
        <w:left w:val="none" w:sz="0" w:space="0" w:color="auto"/>
        <w:bottom w:val="none" w:sz="0" w:space="0" w:color="auto"/>
        <w:right w:val="none" w:sz="0" w:space="0" w:color="auto"/>
      </w:divBdr>
    </w:div>
    <w:div w:id="1549412458">
      <w:bodyDiv w:val="1"/>
      <w:marLeft w:val="0"/>
      <w:marRight w:val="0"/>
      <w:marTop w:val="0"/>
      <w:marBottom w:val="0"/>
      <w:divBdr>
        <w:top w:val="none" w:sz="0" w:space="0" w:color="auto"/>
        <w:left w:val="none" w:sz="0" w:space="0" w:color="auto"/>
        <w:bottom w:val="none" w:sz="0" w:space="0" w:color="auto"/>
        <w:right w:val="none" w:sz="0" w:space="0" w:color="auto"/>
      </w:divBdr>
      <w:divsChild>
        <w:div w:id="210988462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62247702">
      <w:bodyDiv w:val="1"/>
      <w:marLeft w:val="0"/>
      <w:marRight w:val="0"/>
      <w:marTop w:val="0"/>
      <w:marBottom w:val="0"/>
      <w:divBdr>
        <w:top w:val="none" w:sz="0" w:space="0" w:color="auto"/>
        <w:left w:val="none" w:sz="0" w:space="0" w:color="auto"/>
        <w:bottom w:val="none" w:sz="0" w:space="0" w:color="auto"/>
        <w:right w:val="none" w:sz="0" w:space="0" w:color="auto"/>
      </w:divBdr>
    </w:div>
    <w:div w:id="1569612914">
      <w:bodyDiv w:val="1"/>
      <w:marLeft w:val="0"/>
      <w:marRight w:val="0"/>
      <w:marTop w:val="0"/>
      <w:marBottom w:val="0"/>
      <w:divBdr>
        <w:top w:val="none" w:sz="0" w:space="0" w:color="auto"/>
        <w:left w:val="none" w:sz="0" w:space="0" w:color="auto"/>
        <w:bottom w:val="none" w:sz="0" w:space="0" w:color="auto"/>
        <w:right w:val="none" w:sz="0" w:space="0" w:color="auto"/>
      </w:divBdr>
    </w:div>
    <w:div w:id="1583642765">
      <w:bodyDiv w:val="1"/>
      <w:marLeft w:val="0"/>
      <w:marRight w:val="0"/>
      <w:marTop w:val="0"/>
      <w:marBottom w:val="0"/>
      <w:divBdr>
        <w:top w:val="none" w:sz="0" w:space="0" w:color="auto"/>
        <w:left w:val="none" w:sz="0" w:space="0" w:color="auto"/>
        <w:bottom w:val="none" w:sz="0" w:space="0" w:color="auto"/>
        <w:right w:val="none" w:sz="0" w:space="0" w:color="auto"/>
      </w:divBdr>
    </w:div>
    <w:div w:id="1590432709">
      <w:bodyDiv w:val="1"/>
      <w:marLeft w:val="0"/>
      <w:marRight w:val="0"/>
      <w:marTop w:val="0"/>
      <w:marBottom w:val="0"/>
      <w:divBdr>
        <w:top w:val="none" w:sz="0" w:space="0" w:color="auto"/>
        <w:left w:val="none" w:sz="0" w:space="0" w:color="auto"/>
        <w:bottom w:val="none" w:sz="0" w:space="0" w:color="auto"/>
        <w:right w:val="none" w:sz="0" w:space="0" w:color="auto"/>
      </w:divBdr>
    </w:div>
    <w:div w:id="1594780273">
      <w:bodyDiv w:val="1"/>
      <w:marLeft w:val="0"/>
      <w:marRight w:val="0"/>
      <w:marTop w:val="0"/>
      <w:marBottom w:val="0"/>
      <w:divBdr>
        <w:top w:val="none" w:sz="0" w:space="0" w:color="auto"/>
        <w:left w:val="none" w:sz="0" w:space="0" w:color="auto"/>
        <w:bottom w:val="none" w:sz="0" w:space="0" w:color="auto"/>
        <w:right w:val="none" w:sz="0" w:space="0" w:color="auto"/>
      </w:divBdr>
    </w:div>
    <w:div w:id="1594896397">
      <w:bodyDiv w:val="1"/>
      <w:marLeft w:val="0"/>
      <w:marRight w:val="0"/>
      <w:marTop w:val="0"/>
      <w:marBottom w:val="0"/>
      <w:divBdr>
        <w:top w:val="none" w:sz="0" w:space="0" w:color="auto"/>
        <w:left w:val="none" w:sz="0" w:space="0" w:color="auto"/>
        <w:bottom w:val="none" w:sz="0" w:space="0" w:color="auto"/>
        <w:right w:val="none" w:sz="0" w:space="0" w:color="auto"/>
      </w:divBdr>
    </w:div>
    <w:div w:id="1643122638">
      <w:bodyDiv w:val="1"/>
      <w:marLeft w:val="0"/>
      <w:marRight w:val="0"/>
      <w:marTop w:val="0"/>
      <w:marBottom w:val="0"/>
      <w:divBdr>
        <w:top w:val="none" w:sz="0" w:space="0" w:color="auto"/>
        <w:left w:val="none" w:sz="0" w:space="0" w:color="auto"/>
        <w:bottom w:val="none" w:sz="0" w:space="0" w:color="auto"/>
        <w:right w:val="none" w:sz="0" w:space="0" w:color="auto"/>
      </w:divBdr>
    </w:div>
    <w:div w:id="1646742505">
      <w:bodyDiv w:val="1"/>
      <w:marLeft w:val="0"/>
      <w:marRight w:val="0"/>
      <w:marTop w:val="0"/>
      <w:marBottom w:val="0"/>
      <w:divBdr>
        <w:top w:val="none" w:sz="0" w:space="0" w:color="auto"/>
        <w:left w:val="none" w:sz="0" w:space="0" w:color="auto"/>
        <w:bottom w:val="none" w:sz="0" w:space="0" w:color="auto"/>
        <w:right w:val="none" w:sz="0" w:space="0" w:color="auto"/>
      </w:divBdr>
    </w:div>
    <w:div w:id="1649237221">
      <w:bodyDiv w:val="1"/>
      <w:marLeft w:val="0"/>
      <w:marRight w:val="0"/>
      <w:marTop w:val="0"/>
      <w:marBottom w:val="0"/>
      <w:divBdr>
        <w:top w:val="none" w:sz="0" w:space="0" w:color="auto"/>
        <w:left w:val="none" w:sz="0" w:space="0" w:color="auto"/>
        <w:bottom w:val="none" w:sz="0" w:space="0" w:color="auto"/>
        <w:right w:val="none" w:sz="0" w:space="0" w:color="auto"/>
      </w:divBdr>
    </w:div>
    <w:div w:id="1652173622">
      <w:bodyDiv w:val="1"/>
      <w:marLeft w:val="0"/>
      <w:marRight w:val="0"/>
      <w:marTop w:val="0"/>
      <w:marBottom w:val="0"/>
      <w:divBdr>
        <w:top w:val="none" w:sz="0" w:space="0" w:color="auto"/>
        <w:left w:val="none" w:sz="0" w:space="0" w:color="auto"/>
        <w:bottom w:val="none" w:sz="0" w:space="0" w:color="auto"/>
        <w:right w:val="none" w:sz="0" w:space="0" w:color="auto"/>
      </w:divBdr>
      <w:divsChild>
        <w:div w:id="751586612">
          <w:marLeft w:val="0"/>
          <w:marRight w:val="0"/>
          <w:marTop w:val="0"/>
          <w:marBottom w:val="0"/>
          <w:divBdr>
            <w:top w:val="none" w:sz="0" w:space="0" w:color="auto"/>
            <w:left w:val="none" w:sz="0" w:space="0" w:color="auto"/>
            <w:bottom w:val="none" w:sz="0" w:space="0" w:color="auto"/>
            <w:right w:val="none" w:sz="0" w:space="0" w:color="auto"/>
          </w:divBdr>
          <w:divsChild>
            <w:div w:id="1084183299">
              <w:marLeft w:val="0"/>
              <w:marRight w:val="0"/>
              <w:marTop w:val="0"/>
              <w:marBottom w:val="0"/>
              <w:divBdr>
                <w:top w:val="none" w:sz="0" w:space="0" w:color="auto"/>
                <w:left w:val="none" w:sz="0" w:space="0" w:color="auto"/>
                <w:bottom w:val="none" w:sz="0" w:space="0" w:color="auto"/>
                <w:right w:val="none" w:sz="0" w:space="0" w:color="auto"/>
              </w:divBdr>
              <w:divsChild>
                <w:div w:id="829562273">
                  <w:marLeft w:val="0"/>
                  <w:marRight w:val="0"/>
                  <w:marTop w:val="0"/>
                  <w:marBottom w:val="0"/>
                  <w:divBdr>
                    <w:top w:val="none" w:sz="0" w:space="0" w:color="auto"/>
                    <w:left w:val="none" w:sz="0" w:space="0" w:color="auto"/>
                    <w:bottom w:val="none" w:sz="0" w:space="0" w:color="auto"/>
                    <w:right w:val="none" w:sz="0" w:space="0" w:color="auto"/>
                  </w:divBdr>
                  <w:divsChild>
                    <w:div w:id="1455128493">
                      <w:marLeft w:val="0"/>
                      <w:marRight w:val="0"/>
                      <w:marTop w:val="0"/>
                      <w:marBottom w:val="0"/>
                      <w:divBdr>
                        <w:top w:val="none" w:sz="0" w:space="0" w:color="auto"/>
                        <w:left w:val="none" w:sz="0" w:space="0" w:color="auto"/>
                        <w:bottom w:val="none" w:sz="0" w:space="0" w:color="auto"/>
                        <w:right w:val="none" w:sz="0" w:space="0" w:color="auto"/>
                      </w:divBdr>
                      <w:divsChild>
                        <w:div w:id="5906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351543">
          <w:marLeft w:val="0"/>
          <w:marRight w:val="0"/>
          <w:marTop w:val="0"/>
          <w:marBottom w:val="0"/>
          <w:divBdr>
            <w:top w:val="none" w:sz="0" w:space="0" w:color="auto"/>
            <w:left w:val="none" w:sz="0" w:space="0" w:color="auto"/>
            <w:bottom w:val="none" w:sz="0" w:space="0" w:color="auto"/>
            <w:right w:val="none" w:sz="0" w:space="0" w:color="auto"/>
          </w:divBdr>
          <w:divsChild>
            <w:div w:id="1329289771">
              <w:marLeft w:val="0"/>
              <w:marRight w:val="0"/>
              <w:marTop w:val="0"/>
              <w:marBottom w:val="0"/>
              <w:divBdr>
                <w:top w:val="none" w:sz="0" w:space="0" w:color="auto"/>
                <w:left w:val="none" w:sz="0" w:space="0" w:color="auto"/>
                <w:bottom w:val="none" w:sz="0" w:space="0" w:color="auto"/>
                <w:right w:val="none" w:sz="0" w:space="0" w:color="auto"/>
              </w:divBdr>
              <w:divsChild>
                <w:div w:id="1282877735">
                  <w:marLeft w:val="0"/>
                  <w:marRight w:val="0"/>
                  <w:marTop w:val="0"/>
                  <w:marBottom w:val="0"/>
                  <w:divBdr>
                    <w:top w:val="none" w:sz="0" w:space="0" w:color="auto"/>
                    <w:left w:val="none" w:sz="0" w:space="0" w:color="auto"/>
                    <w:bottom w:val="none" w:sz="0" w:space="0" w:color="auto"/>
                    <w:right w:val="none" w:sz="0" w:space="0" w:color="auto"/>
                  </w:divBdr>
                  <w:divsChild>
                    <w:div w:id="490407802">
                      <w:marLeft w:val="0"/>
                      <w:marRight w:val="0"/>
                      <w:marTop w:val="0"/>
                      <w:marBottom w:val="0"/>
                      <w:divBdr>
                        <w:top w:val="none" w:sz="0" w:space="0" w:color="auto"/>
                        <w:left w:val="none" w:sz="0" w:space="0" w:color="auto"/>
                        <w:bottom w:val="none" w:sz="0" w:space="0" w:color="auto"/>
                        <w:right w:val="none" w:sz="0" w:space="0" w:color="auto"/>
                      </w:divBdr>
                      <w:divsChild>
                        <w:div w:id="1987510503">
                          <w:marLeft w:val="0"/>
                          <w:marRight w:val="0"/>
                          <w:marTop w:val="0"/>
                          <w:marBottom w:val="0"/>
                          <w:divBdr>
                            <w:top w:val="none" w:sz="0" w:space="0" w:color="auto"/>
                            <w:left w:val="none" w:sz="0" w:space="0" w:color="auto"/>
                            <w:bottom w:val="none" w:sz="0" w:space="0" w:color="auto"/>
                            <w:right w:val="none" w:sz="0" w:space="0" w:color="auto"/>
                          </w:divBdr>
                          <w:divsChild>
                            <w:div w:id="1900241993">
                              <w:marLeft w:val="0"/>
                              <w:marRight w:val="0"/>
                              <w:marTop w:val="0"/>
                              <w:marBottom w:val="0"/>
                              <w:divBdr>
                                <w:top w:val="none" w:sz="0" w:space="0" w:color="auto"/>
                                <w:left w:val="none" w:sz="0" w:space="0" w:color="auto"/>
                                <w:bottom w:val="none" w:sz="0" w:space="0" w:color="auto"/>
                                <w:right w:val="none" w:sz="0" w:space="0" w:color="auto"/>
                              </w:divBdr>
                              <w:divsChild>
                                <w:div w:id="1588342977">
                                  <w:marLeft w:val="0"/>
                                  <w:marRight w:val="0"/>
                                  <w:marTop w:val="0"/>
                                  <w:marBottom w:val="0"/>
                                  <w:divBdr>
                                    <w:top w:val="none" w:sz="0" w:space="0" w:color="auto"/>
                                    <w:left w:val="none" w:sz="0" w:space="0" w:color="auto"/>
                                    <w:bottom w:val="none" w:sz="0" w:space="0" w:color="auto"/>
                                    <w:right w:val="none" w:sz="0" w:space="0" w:color="auto"/>
                                  </w:divBdr>
                                  <w:divsChild>
                                    <w:div w:id="1381976869">
                                      <w:marLeft w:val="0"/>
                                      <w:marRight w:val="0"/>
                                      <w:marTop w:val="0"/>
                                      <w:marBottom w:val="0"/>
                                      <w:divBdr>
                                        <w:top w:val="none" w:sz="0" w:space="0" w:color="auto"/>
                                        <w:left w:val="none" w:sz="0" w:space="0" w:color="auto"/>
                                        <w:bottom w:val="none" w:sz="0" w:space="0" w:color="auto"/>
                                        <w:right w:val="none" w:sz="0" w:space="0" w:color="auto"/>
                                      </w:divBdr>
                                      <w:divsChild>
                                        <w:div w:id="1635987928">
                                          <w:marLeft w:val="0"/>
                                          <w:marRight w:val="0"/>
                                          <w:marTop w:val="0"/>
                                          <w:marBottom w:val="0"/>
                                          <w:divBdr>
                                            <w:top w:val="none" w:sz="0" w:space="0" w:color="auto"/>
                                            <w:left w:val="none" w:sz="0" w:space="0" w:color="auto"/>
                                            <w:bottom w:val="none" w:sz="0" w:space="0" w:color="auto"/>
                                            <w:right w:val="none" w:sz="0" w:space="0" w:color="auto"/>
                                          </w:divBdr>
                                          <w:divsChild>
                                            <w:div w:id="8933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0884512">
      <w:bodyDiv w:val="1"/>
      <w:marLeft w:val="0"/>
      <w:marRight w:val="0"/>
      <w:marTop w:val="0"/>
      <w:marBottom w:val="0"/>
      <w:divBdr>
        <w:top w:val="none" w:sz="0" w:space="0" w:color="auto"/>
        <w:left w:val="none" w:sz="0" w:space="0" w:color="auto"/>
        <w:bottom w:val="none" w:sz="0" w:space="0" w:color="auto"/>
        <w:right w:val="none" w:sz="0" w:space="0" w:color="auto"/>
      </w:divBdr>
    </w:div>
    <w:div w:id="1673290695">
      <w:bodyDiv w:val="1"/>
      <w:marLeft w:val="0"/>
      <w:marRight w:val="0"/>
      <w:marTop w:val="0"/>
      <w:marBottom w:val="0"/>
      <w:divBdr>
        <w:top w:val="none" w:sz="0" w:space="0" w:color="auto"/>
        <w:left w:val="none" w:sz="0" w:space="0" w:color="auto"/>
        <w:bottom w:val="none" w:sz="0" w:space="0" w:color="auto"/>
        <w:right w:val="none" w:sz="0" w:space="0" w:color="auto"/>
      </w:divBdr>
    </w:div>
    <w:div w:id="1691251897">
      <w:bodyDiv w:val="1"/>
      <w:marLeft w:val="0"/>
      <w:marRight w:val="0"/>
      <w:marTop w:val="0"/>
      <w:marBottom w:val="0"/>
      <w:divBdr>
        <w:top w:val="none" w:sz="0" w:space="0" w:color="auto"/>
        <w:left w:val="none" w:sz="0" w:space="0" w:color="auto"/>
        <w:bottom w:val="none" w:sz="0" w:space="0" w:color="auto"/>
        <w:right w:val="none" w:sz="0" w:space="0" w:color="auto"/>
      </w:divBdr>
      <w:divsChild>
        <w:div w:id="7333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5836">
      <w:bodyDiv w:val="1"/>
      <w:marLeft w:val="0"/>
      <w:marRight w:val="0"/>
      <w:marTop w:val="0"/>
      <w:marBottom w:val="0"/>
      <w:divBdr>
        <w:top w:val="none" w:sz="0" w:space="0" w:color="auto"/>
        <w:left w:val="none" w:sz="0" w:space="0" w:color="auto"/>
        <w:bottom w:val="none" w:sz="0" w:space="0" w:color="auto"/>
        <w:right w:val="none" w:sz="0" w:space="0" w:color="auto"/>
      </w:divBdr>
    </w:div>
    <w:div w:id="1697340748">
      <w:bodyDiv w:val="1"/>
      <w:marLeft w:val="0"/>
      <w:marRight w:val="0"/>
      <w:marTop w:val="0"/>
      <w:marBottom w:val="0"/>
      <w:divBdr>
        <w:top w:val="none" w:sz="0" w:space="0" w:color="auto"/>
        <w:left w:val="none" w:sz="0" w:space="0" w:color="auto"/>
        <w:bottom w:val="none" w:sz="0" w:space="0" w:color="auto"/>
        <w:right w:val="none" w:sz="0" w:space="0" w:color="auto"/>
      </w:divBdr>
    </w:div>
    <w:div w:id="1697341923">
      <w:bodyDiv w:val="1"/>
      <w:marLeft w:val="0"/>
      <w:marRight w:val="0"/>
      <w:marTop w:val="0"/>
      <w:marBottom w:val="0"/>
      <w:divBdr>
        <w:top w:val="none" w:sz="0" w:space="0" w:color="auto"/>
        <w:left w:val="none" w:sz="0" w:space="0" w:color="auto"/>
        <w:bottom w:val="none" w:sz="0" w:space="0" w:color="auto"/>
        <w:right w:val="none" w:sz="0" w:space="0" w:color="auto"/>
      </w:divBdr>
    </w:div>
    <w:div w:id="1708603670">
      <w:bodyDiv w:val="1"/>
      <w:marLeft w:val="0"/>
      <w:marRight w:val="0"/>
      <w:marTop w:val="0"/>
      <w:marBottom w:val="0"/>
      <w:divBdr>
        <w:top w:val="none" w:sz="0" w:space="0" w:color="auto"/>
        <w:left w:val="none" w:sz="0" w:space="0" w:color="auto"/>
        <w:bottom w:val="none" w:sz="0" w:space="0" w:color="auto"/>
        <w:right w:val="none" w:sz="0" w:space="0" w:color="auto"/>
      </w:divBdr>
    </w:div>
    <w:div w:id="1748724999">
      <w:bodyDiv w:val="1"/>
      <w:marLeft w:val="0"/>
      <w:marRight w:val="0"/>
      <w:marTop w:val="0"/>
      <w:marBottom w:val="0"/>
      <w:divBdr>
        <w:top w:val="none" w:sz="0" w:space="0" w:color="auto"/>
        <w:left w:val="none" w:sz="0" w:space="0" w:color="auto"/>
        <w:bottom w:val="none" w:sz="0" w:space="0" w:color="auto"/>
        <w:right w:val="none" w:sz="0" w:space="0" w:color="auto"/>
      </w:divBdr>
    </w:div>
    <w:div w:id="1800145878">
      <w:bodyDiv w:val="1"/>
      <w:marLeft w:val="0"/>
      <w:marRight w:val="0"/>
      <w:marTop w:val="0"/>
      <w:marBottom w:val="0"/>
      <w:divBdr>
        <w:top w:val="none" w:sz="0" w:space="0" w:color="auto"/>
        <w:left w:val="none" w:sz="0" w:space="0" w:color="auto"/>
        <w:bottom w:val="none" w:sz="0" w:space="0" w:color="auto"/>
        <w:right w:val="none" w:sz="0" w:space="0" w:color="auto"/>
      </w:divBdr>
    </w:div>
    <w:div w:id="1801456969">
      <w:bodyDiv w:val="1"/>
      <w:marLeft w:val="0"/>
      <w:marRight w:val="0"/>
      <w:marTop w:val="0"/>
      <w:marBottom w:val="0"/>
      <w:divBdr>
        <w:top w:val="none" w:sz="0" w:space="0" w:color="auto"/>
        <w:left w:val="none" w:sz="0" w:space="0" w:color="auto"/>
        <w:bottom w:val="none" w:sz="0" w:space="0" w:color="auto"/>
        <w:right w:val="none" w:sz="0" w:space="0" w:color="auto"/>
      </w:divBdr>
    </w:div>
    <w:div w:id="1808742639">
      <w:bodyDiv w:val="1"/>
      <w:marLeft w:val="0"/>
      <w:marRight w:val="0"/>
      <w:marTop w:val="0"/>
      <w:marBottom w:val="0"/>
      <w:divBdr>
        <w:top w:val="none" w:sz="0" w:space="0" w:color="auto"/>
        <w:left w:val="none" w:sz="0" w:space="0" w:color="auto"/>
        <w:bottom w:val="none" w:sz="0" w:space="0" w:color="auto"/>
        <w:right w:val="none" w:sz="0" w:space="0" w:color="auto"/>
      </w:divBdr>
    </w:div>
    <w:div w:id="1827628522">
      <w:bodyDiv w:val="1"/>
      <w:marLeft w:val="0"/>
      <w:marRight w:val="0"/>
      <w:marTop w:val="0"/>
      <w:marBottom w:val="0"/>
      <w:divBdr>
        <w:top w:val="none" w:sz="0" w:space="0" w:color="auto"/>
        <w:left w:val="none" w:sz="0" w:space="0" w:color="auto"/>
        <w:bottom w:val="none" w:sz="0" w:space="0" w:color="auto"/>
        <w:right w:val="none" w:sz="0" w:space="0" w:color="auto"/>
      </w:divBdr>
      <w:divsChild>
        <w:div w:id="1465731850">
          <w:marLeft w:val="0"/>
          <w:marRight w:val="0"/>
          <w:marTop w:val="0"/>
          <w:marBottom w:val="0"/>
          <w:divBdr>
            <w:top w:val="none" w:sz="0" w:space="0" w:color="auto"/>
            <w:left w:val="none" w:sz="0" w:space="0" w:color="auto"/>
            <w:bottom w:val="none" w:sz="0" w:space="0" w:color="auto"/>
            <w:right w:val="none" w:sz="0" w:space="0" w:color="auto"/>
          </w:divBdr>
          <w:divsChild>
            <w:div w:id="1225264641">
              <w:marLeft w:val="0"/>
              <w:marRight w:val="0"/>
              <w:marTop w:val="0"/>
              <w:marBottom w:val="0"/>
              <w:divBdr>
                <w:top w:val="none" w:sz="0" w:space="0" w:color="auto"/>
                <w:left w:val="none" w:sz="0" w:space="0" w:color="auto"/>
                <w:bottom w:val="none" w:sz="0" w:space="0" w:color="auto"/>
                <w:right w:val="none" w:sz="0" w:space="0" w:color="auto"/>
              </w:divBdr>
              <w:divsChild>
                <w:div w:id="1795520462">
                  <w:marLeft w:val="0"/>
                  <w:marRight w:val="0"/>
                  <w:marTop w:val="0"/>
                  <w:marBottom w:val="0"/>
                  <w:divBdr>
                    <w:top w:val="none" w:sz="0" w:space="0" w:color="auto"/>
                    <w:left w:val="none" w:sz="0" w:space="0" w:color="auto"/>
                    <w:bottom w:val="none" w:sz="0" w:space="0" w:color="auto"/>
                    <w:right w:val="none" w:sz="0" w:space="0" w:color="auto"/>
                  </w:divBdr>
                  <w:divsChild>
                    <w:div w:id="1945109040">
                      <w:marLeft w:val="0"/>
                      <w:marRight w:val="0"/>
                      <w:marTop w:val="0"/>
                      <w:marBottom w:val="0"/>
                      <w:divBdr>
                        <w:top w:val="none" w:sz="0" w:space="0" w:color="auto"/>
                        <w:left w:val="none" w:sz="0" w:space="0" w:color="auto"/>
                        <w:bottom w:val="none" w:sz="0" w:space="0" w:color="auto"/>
                        <w:right w:val="none" w:sz="0" w:space="0" w:color="auto"/>
                      </w:divBdr>
                      <w:divsChild>
                        <w:div w:id="1311517876">
                          <w:marLeft w:val="0"/>
                          <w:marRight w:val="0"/>
                          <w:marTop w:val="0"/>
                          <w:marBottom w:val="0"/>
                          <w:divBdr>
                            <w:top w:val="none" w:sz="0" w:space="0" w:color="auto"/>
                            <w:left w:val="none" w:sz="0" w:space="0" w:color="auto"/>
                            <w:bottom w:val="none" w:sz="0" w:space="0" w:color="auto"/>
                            <w:right w:val="none" w:sz="0" w:space="0" w:color="auto"/>
                          </w:divBdr>
                          <w:divsChild>
                            <w:div w:id="1783644333">
                              <w:marLeft w:val="0"/>
                              <w:marRight w:val="0"/>
                              <w:marTop w:val="0"/>
                              <w:marBottom w:val="0"/>
                              <w:divBdr>
                                <w:top w:val="none" w:sz="0" w:space="0" w:color="auto"/>
                                <w:left w:val="none" w:sz="0" w:space="0" w:color="auto"/>
                                <w:bottom w:val="none" w:sz="0" w:space="0" w:color="auto"/>
                                <w:right w:val="none" w:sz="0" w:space="0" w:color="auto"/>
                              </w:divBdr>
                              <w:divsChild>
                                <w:div w:id="1451166303">
                                  <w:marLeft w:val="0"/>
                                  <w:marRight w:val="0"/>
                                  <w:marTop w:val="0"/>
                                  <w:marBottom w:val="0"/>
                                  <w:divBdr>
                                    <w:top w:val="none" w:sz="0" w:space="0" w:color="auto"/>
                                    <w:left w:val="none" w:sz="0" w:space="0" w:color="auto"/>
                                    <w:bottom w:val="none" w:sz="0" w:space="0" w:color="auto"/>
                                    <w:right w:val="none" w:sz="0" w:space="0" w:color="auto"/>
                                  </w:divBdr>
                                  <w:divsChild>
                                    <w:div w:id="7982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510536">
                          <w:marLeft w:val="0"/>
                          <w:marRight w:val="0"/>
                          <w:marTop w:val="0"/>
                          <w:marBottom w:val="0"/>
                          <w:divBdr>
                            <w:top w:val="none" w:sz="0" w:space="0" w:color="auto"/>
                            <w:left w:val="none" w:sz="0" w:space="0" w:color="auto"/>
                            <w:bottom w:val="none" w:sz="0" w:space="0" w:color="auto"/>
                            <w:right w:val="none" w:sz="0" w:space="0" w:color="auto"/>
                          </w:divBdr>
                          <w:divsChild>
                            <w:div w:id="408116463">
                              <w:marLeft w:val="0"/>
                              <w:marRight w:val="0"/>
                              <w:marTop w:val="0"/>
                              <w:marBottom w:val="0"/>
                              <w:divBdr>
                                <w:top w:val="none" w:sz="0" w:space="0" w:color="auto"/>
                                <w:left w:val="none" w:sz="0" w:space="0" w:color="auto"/>
                                <w:bottom w:val="none" w:sz="0" w:space="0" w:color="auto"/>
                                <w:right w:val="none" w:sz="0" w:space="0" w:color="auto"/>
                              </w:divBdr>
                              <w:divsChild>
                                <w:div w:id="1533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009297">
      <w:bodyDiv w:val="1"/>
      <w:marLeft w:val="0"/>
      <w:marRight w:val="0"/>
      <w:marTop w:val="0"/>
      <w:marBottom w:val="0"/>
      <w:divBdr>
        <w:top w:val="none" w:sz="0" w:space="0" w:color="auto"/>
        <w:left w:val="none" w:sz="0" w:space="0" w:color="auto"/>
        <w:bottom w:val="none" w:sz="0" w:space="0" w:color="auto"/>
        <w:right w:val="none" w:sz="0" w:space="0" w:color="auto"/>
      </w:divBdr>
    </w:div>
    <w:div w:id="1866139063">
      <w:bodyDiv w:val="1"/>
      <w:marLeft w:val="0"/>
      <w:marRight w:val="0"/>
      <w:marTop w:val="0"/>
      <w:marBottom w:val="0"/>
      <w:divBdr>
        <w:top w:val="none" w:sz="0" w:space="0" w:color="auto"/>
        <w:left w:val="none" w:sz="0" w:space="0" w:color="auto"/>
        <w:bottom w:val="none" w:sz="0" w:space="0" w:color="auto"/>
        <w:right w:val="none" w:sz="0" w:space="0" w:color="auto"/>
      </w:divBdr>
    </w:div>
    <w:div w:id="1879932535">
      <w:bodyDiv w:val="1"/>
      <w:marLeft w:val="0"/>
      <w:marRight w:val="0"/>
      <w:marTop w:val="0"/>
      <w:marBottom w:val="0"/>
      <w:divBdr>
        <w:top w:val="none" w:sz="0" w:space="0" w:color="auto"/>
        <w:left w:val="none" w:sz="0" w:space="0" w:color="auto"/>
        <w:bottom w:val="none" w:sz="0" w:space="0" w:color="auto"/>
        <w:right w:val="none" w:sz="0" w:space="0" w:color="auto"/>
      </w:divBdr>
    </w:div>
    <w:div w:id="1884824012">
      <w:bodyDiv w:val="1"/>
      <w:marLeft w:val="0"/>
      <w:marRight w:val="0"/>
      <w:marTop w:val="0"/>
      <w:marBottom w:val="0"/>
      <w:divBdr>
        <w:top w:val="none" w:sz="0" w:space="0" w:color="auto"/>
        <w:left w:val="none" w:sz="0" w:space="0" w:color="auto"/>
        <w:bottom w:val="none" w:sz="0" w:space="0" w:color="auto"/>
        <w:right w:val="none" w:sz="0" w:space="0" w:color="auto"/>
      </w:divBdr>
    </w:div>
    <w:div w:id="1888714239">
      <w:bodyDiv w:val="1"/>
      <w:marLeft w:val="0"/>
      <w:marRight w:val="0"/>
      <w:marTop w:val="0"/>
      <w:marBottom w:val="0"/>
      <w:divBdr>
        <w:top w:val="none" w:sz="0" w:space="0" w:color="auto"/>
        <w:left w:val="none" w:sz="0" w:space="0" w:color="auto"/>
        <w:bottom w:val="none" w:sz="0" w:space="0" w:color="auto"/>
        <w:right w:val="none" w:sz="0" w:space="0" w:color="auto"/>
      </w:divBdr>
    </w:div>
    <w:div w:id="1889678314">
      <w:bodyDiv w:val="1"/>
      <w:marLeft w:val="0"/>
      <w:marRight w:val="0"/>
      <w:marTop w:val="0"/>
      <w:marBottom w:val="0"/>
      <w:divBdr>
        <w:top w:val="none" w:sz="0" w:space="0" w:color="auto"/>
        <w:left w:val="none" w:sz="0" w:space="0" w:color="auto"/>
        <w:bottom w:val="none" w:sz="0" w:space="0" w:color="auto"/>
        <w:right w:val="none" w:sz="0" w:space="0" w:color="auto"/>
      </w:divBdr>
    </w:div>
    <w:div w:id="1904556267">
      <w:bodyDiv w:val="1"/>
      <w:marLeft w:val="0"/>
      <w:marRight w:val="0"/>
      <w:marTop w:val="0"/>
      <w:marBottom w:val="0"/>
      <w:divBdr>
        <w:top w:val="none" w:sz="0" w:space="0" w:color="auto"/>
        <w:left w:val="none" w:sz="0" w:space="0" w:color="auto"/>
        <w:bottom w:val="none" w:sz="0" w:space="0" w:color="auto"/>
        <w:right w:val="none" w:sz="0" w:space="0" w:color="auto"/>
      </w:divBdr>
    </w:div>
    <w:div w:id="1905024946">
      <w:bodyDiv w:val="1"/>
      <w:marLeft w:val="0"/>
      <w:marRight w:val="0"/>
      <w:marTop w:val="0"/>
      <w:marBottom w:val="0"/>
      <w:divBdr>
        <w:top w:val="none" w:sz="0" w:space="0" w:color="auto"/>
        <w:left w:val="none" w:sz="0" w:space="0" w:color="auto"/>
        <w:bottom w:val="none" w:sz="0" w:space="0" w:color="auto"/>
        <w:right w:val="none" w:sz="0" w:space="0" w:color="auto"/>
      </w:divBdr>
    </w:div>
    <w:div w:id="1905405559">
      <w:bodyDiv w:val="1"/>
      <w:marLeft w:val="0"/>
      <w:marRight w:val="0"/>
      <w:marTop w:val="0"/>
      <w:marBottom w:val="0"/>
      <w:divBdr>
        <w:top w:val="none" w:sz="0" w:space="0" w:color="auto"/>
        <w:left w:val="none" w:sz="0" w:space="0" w:color="auto"/>
        <w:bottom w:val="none" w:sz="0" w:space="0" w:color="auto"/>
        <w:right w:val="none" w:sz="0" w:space="0" w:color="auto"/>
      </w:divBdr>
    </w:div>
    <w:div w:id="1933539924">
      <w:bodyDiv w:val="1"/>
      <w:marLeft w:val="0"/>
      <w:marRight w:val="0"/>
      <w:marTop w:val="0"/>
      <w:marBottom w:val="0"/>
      <w:divBdr>
        <w:top w:val="none" w:sz="0" w:space="0" w:color="auto"/>
        <w:left w:val="none" w:sz="0" w:space="0" w:color="auto"/>
        <w:bottom w:val="none" w:sz="0" w:space="0" w:color="auto"/>
        <w:right w:val="none" w:sz="0" w:space="0" w:color="auto"/>
      </w:divBdr>
    </w:div>
    <w:div w:id="1933662554">
      <w:bodyDiv w:val="1"/>
      <w:marLeft w:val="0"/>
      <w:marRight w:val="0"/>
      <w:marTop w:val="0"/>
      <w:marBottom w:val="0"/>
      <w:divBdr>
        <w:top w:val="none" w:sz="0" w:space="0" w:color="auto"/>
        <w:left w:val="none" w:sz="0" w:space="0" w:color="auto"/>
        <w:bottom w:val="none" w:sz="0" w:space="0" w:color="auto"/>
        <w:right w:val="none" w:sz="0" w:space="0" w:color="auto"/>
      </w:divBdr>
    </w:div>
    <w:div w:id="1938830706">
      <w:bodyDiv w:val="1"/>
      <w:marLeft w:val="0"/>
      <w:marRight w:val="0"/>
      <w:marTop w:val="0"/>
      <w:marBottom w:val="0"/>
      <w:divBdr>
        <w:top w:val="none" w:sz="0" w:space="0" w:color="auto"/>
        <w:left w:val="none" w:sz="0" w:space="0" w:color="auto"/>
        <w:bottom w:val="none" w:sz="0" w:space="0" w:color="auto"/>
        <w:right w:val="none" w:sz="0" w:space="0" w:color="auto"/>
      </w:divBdr>
    </w:div>
    <w:div w:id="1939021775">
      <w:bodyDiv w:val="1"/>
      <w:marLeft w:val="0"/>
      <w:marRight w:val="0"/>
      <w:marTop w:val="0"/>
      <w:marBottom w:val="0"/>
      <w:divBdr>
        <w:top w:val="none" w:sz="0" w:space="0" w:color="auto"/>
        <w:left w:val="none" w:sz="0" w:space="0" w:color="auto"/>
        <w:bottom w:val="none" w:sz="0" w:space="0" w:color="auto"/>
        <w:right w:val="none" w:sz="0" w:space="0" w:color="auto"/>
      </w:divBdr>
    </w:div>
    <w:div w:id="1999456177">
      <w:bodyDiv w:val="1"/>
      <w:marLeft w:val="0"/>
      <w:marRight w:val="0"/>
      <w:marTop w:val="0"/>
      <w:marBottom w:val="0"/>
      <w:divBdr>
        <w:top w:val="none" w:sz="0" w:space="0" w:color="auto"/>
        <w:left w:val="none" w:sz="0" w:space="0" w:color="auto"/>
        <w:bottom w:val="none" w:sz="0" w:space="0" w:color="auto"/>
        <w:right w:val="none" w:sz="0" w:space="0" w:color="auto"/>
      </w:divBdr>
      <w:divsChild>
        <w:div w:id="1995600407">
          <w:marLeft w:val="0"/>
          <w:marRight w:val="0"/>
          <w:marTop w:val="0"/>
          <w:marBottom w:val="0"/>
          <w:divBdr>
            <w:top w:val="none" w:sz="0" w:space="0" w:color="auto"/>
            <w:left w:val="none" w:sz="0" w:space="0" w:color="auto"/>
            <w:bottom w:val="none" w:sz="0" w:space="0" w:color="auto"/>
            <w:right w:val="none" w:sz="0" w:space="0" w:color="auto"/>
          </w:divBdr>
          <w:divsChild>
            <w:div w:id="4253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70197">
      <w:bodyDiv w:val="1"/>
      <w:marLeft w:val="0"/>
      <w:marRight w:val="0"/>
      <w:marTop w:val="0"/>
      <w:marBottom w:val="0"/>
      <w:divBdr>
        <w:top w:val="none" w:sz="0" w:space="0" w:color="auto"/>
        <w:left w:val="none" w:sz="0" w:space="0" w:color="auto"/>
        <w:bottom w:val="none" w:sz="0" w:space="0" w:color="auto"/>
        <w:right w:val="none" w:sz="0" w:space="0" w:color="auto"/>
      </w:divBdr>
    </w:div>
    <w:div w:id="2008046989">
      <w:bodyDiv w:val="1"/>
      <w:marLeft w:val="0"/>
      <w:marRight w:val="0"/>
      <w:marTop w:val="0"/>
      <w:marBottom w:val="0"/>
      <w:divBdr>
        <w:top w:val="none" w:sz="0" w:space="0" w:color="auto"/>
        <w:left w:val="none" w:sz="0" w:space="0" w:color="auto"/>
        <w:bottom w:val="none" w:sz="0" w:space="0" w:color="auto"/>
        <w:right w:val="none" w:sz="0" w:space="0" w:color="auto"/>
      </w:divBdr>
    </w:div>
    <w:div w:id="2015571998">
      <w:bodyDiv w:val="1"/>
      <w:marLeft w:val="0"/>
      <w:marRight w:val="0"/>
      <w:marTop w:val="0"/>
      <w:marBottom w:val="0"/>
      <w:divBdr>
        <w:top w:val="none" w:sz="0" w:space="0" w:color="auto"/>
        <w:left w:val="none" w:sz="0" w:space="0" w:color="auto"/>
        <w:bottom w:val="none" w:sz="0" w:space="0" w:color="auto"/>
        <w:right w:val="none" w:sz="0" w:space="0" w:color="auto"/>
      </w:divBdr>
    </w:div>
    <w:div w:id="2020307867">
      <w:bodyDiv w:val="1"/>
      <w:marLeft w:val="0"/>
      <w:marRight w:val="0"/>
      <w:marTop w:val="0"/>
      <w:marBottom w:val="0"/>
      <w:divBdr>
        <w:top w:val="none" w:sz="0" w:space="0" w:color="auto"/>
        <w:left w:val="none" w:sz="0" w:space="0" w:color="auto"/>
        <w:bottom w:val="none" w:sz="0" w:space="0" w:color="auto"/>
        <w:right w:val="none" w:sz="0" w:space="0" w:color="auto"/>
      </w:divBdr>
      <w:divsChild>
        <w:div w:id="32656596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22270443">
      <w:bodyDiv w:val="1"/>
      <w:marLeft w:val="0"/>
      <w:marRight w:val="0"/>
      <w:marTop w:val="0"/>
      <w:marBottom w:val="0"/>
      <w:divBdr>
        <w:top w:val="none" w:sz="0" w:space="0" w:color="auto"/>
        <w:left w:val="none" w:sz="0" w:space="0" w:color="auto"/>
        <w:bottom w:val="none" w:sz="0" w:space="0" w:color="auto"/>
        <w:right w:val="none" w:sz="0" w:space="0" w:color="auto"/>
      </w:divBdr>
    </w:div>
    <w:div w:id="2023320111">
      <w:bodyDiv w:val="1"/>
      <w:marLeft w:val="0"/>
      <w:marRight w:val="0"/>
      <w:marTop w:val="0"/>
      <w:marBottom w:val="0"/>
      <w:divBdr>
        <w:top w:val="none" w:sz="0" w:space="0" w:color="auto"/>
        <w:left w:val="none" w:sz="0" w:space="0" w:color="auto"/>
        <w:bottom w:val="none" w:sz="0" w:space="0" w:color="auto"/>
        <w:right w:val="none" w:sz="0" w:space="0" w:color="auto"/>
      </w:divBdr>
    </w:div>
    <w:div w:id="2041737034">
      <w:bodyDiv w:val="1"/>
      <w:marLeft w:val="0"/>
      <w:marRight w:val="0"/>
      <w:marTop w:val="0"/>
      <w:marBottom w:val="0"/>
      <w:divBdr>
        <w:top w:val="none" w:sz="0" w:space="0" w:color="auto"/>
        <w:left w:val="none" w:sz="0" w:space="0" w:color="auto"/>
        <w:bottom w:val="none" w:sz="0" w:space="0" w:color="auto"/>
        <w:right w:val="none" w:sz="0" w:space="0" w:color="auto"/>
      </w:divBdr>
      <w:divsChild>
        <w:div w:id="198137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166703">
      <w:bodyDiv w:val="1"/>
      <w:marLeft w:val="0"/>
      <w:marRight w:val="0"/>
      <w:marTop w:val="0"/>
      <w:marBottom w:val="0"/>
      <w:divBdr>
        <w:top w:val="none" w:sz="0" w:space="0" w:color="auto"/>
        <w:left w:val="none" w:sz="0" w:space="0" w:color="auto"/>
        <w:bottom w:val="none" w:sz="0" w:space="0" w:color="auto"/>
        <w:right w:val="none" w:sz="0" w:space="0" w:color="auto"/>
      </w:divBdr>
    </w:div>
    <w:div w:id="2094080459">
      <w:bodyDiv w:val="1"/>
      <w:marLeft w:val="0"/>
      <w:marRight w:val="0"/>
      <w:marTop w:val="0"/>
      <w:marBottom w:val="0"/>
      <w:divBdr>
        <w:top w:val="none" w:sz="0" w:space="0" w:color="auto"/>
        <w:left w:val="none" w:sz="0" w:space="0" w:color="auto"/>
        <w:bottom w:val="none" w:sz="0" w:space="0" w:color="auto"/>
        <w:right w:val="none" w:sz="0" w:space="0" w:color="auto"/>
      </w:divBdr>
    </w:div>
    <w:div w:id="2108503658">
      <w:bodyDiv w:val="1"/>
      <w:marLeft w:val="0"/>
      <w:marRight w:val="0"/>
      <w:marTop w:val="0"/>
      <w:marBottom w:val="0"/>
      <w:divBdr>
        <w:top w:val="none" w:sz="0" w:space="0" w:color="auto"/>
        <w:left w:val="none" w:sz="0" w:space="0" w:color="auto"/>
        <w:bottom w:val="none" w:sz="0" w:space="0" w:color="auto"/>
        <w:right w:val="none" w:sz="0" w:space="0" w:color="auto"/>
      </w:divBdr>
    </w:div>
    <w:div w:id="2114593935">
      <w:bodyDiv w:val="1"/>
      <w:marLeft w:val="0"/>
      <w:marRight w:val="0"/>
      <w:marTop w:val="0"/>
      <w:marBottom w:val="0"/>
      <w:divBdr>
        <w:top w:val="none" w:sz="0" w:space="0" w:color="auto"/>
        <w:left w:val="none" w:sz="0" w:space="0" w:color="auto"/>
        <w:bottom w:val="none" w:sz="0" w:space="0" w:color="auto"/>
        <w:right w:val="none" w:sz="0" w:space="0" w:color="auto"/>
      </w:divBdr>
      <w:divsChild>
        <w:div w:id="174615222">
          <w:marLeft w:val="0"/>
          <w:marRight w:val="0"/>
          <w:marTop w:val="0"/>
          <w:marBottom w:val="0"/>
          <w:divBdr>
            <w:top w:val="none" w:sz="0" w:space="0" w:color="auto"/>
            <w:left w:val="none" w:sz="0" w:space="0" w:color="auto"/>
            <w:bottom w:val="none" w:sz="0" w:space="0" w:color="auto"/>
            <w:right w:val="none" w:sz="0" w:space="0" w:color="auto"/>
          </w:divBdr>
          <w:divsChild>
            <w:div w:id="1517770158">
              <w:marLeft w:val="0"/>
              <w:marRight w:val="0"/>
              <w:marTop w:val="0"/>
              <w:marBottom w:val="0"/>
              <w:divBdr>
                <w:top w:val="none" w:sz="0" w:space="0" w:color="auto"/>
                <w:left w:val="none" w:sz="0" w:space="0" w:color="auto"/>
                <w:bottom w:val="none" w:sz="0" w:space="0" w:color="auto"/>
                <w:right w:val="none" w:sz="0" w:space="0" w:color="auto"/>
              </w:divBdr>
              <w:divsChild>
                <w:div w:id="19013476">
                  <w:marLeft w:val="0"/>
                  <w:marRight w:val="0"/>
                  <w:marTop w:val="0"/>
                  <w:marBottom w:val="0"/>
                  <w:divBdr>
                    <w:top w:val="none" w:sz="0" w:space="0" w:color="auto"/>
                    <w:left w:val="none" w:sz="0" w:space="0" w:color="auto"/>
                    <w:bottom w:val="none" w:sz="0" w:space="0" w:color="auto"/>
                    <w:right w:val="none" w:sz="0" w:space="0" w:color="auto"/>
                  </w:divBdr>
                  <w:divsChild>
                    <w:div w:id="898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73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21105/joss.0123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github.com/TianYuan-Liu/tusco-paper"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TUSCO.uv.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97AA4-9439-5D43-B733-F07B8D802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23890</Words>
  <Characters>136178</Characters>
  <Application>Microsoft Office Word</Application>
  <DocSecurity>0</DocSecurity>
  <Lines>1134</Lines>
  <Paragraphs>319</Paragraphs>
  <ScaleCrop>false</ScaleCrop>
  <Company/>
  <LinksUpToDate>false</LinksUpToDate>
  <CharactersWithSpaces>159749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Tianyuan Liu</dc:creator>
  <cp:keywords/>
  <dc:description/>
  <cp:lastModifiedBy>Tianyuan Liu</cp:lastModifiedBy>
  <cp:revision>2</cp:revision>
  <dcterms:created xsi:type="dcterms:W3CDTF">2025-08-19T06:38:00Z</dcterms:created>
  <dcterms:modified xsi:type="dcterms:W3CDTF">2025-08-19T06:38:00Z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id="t4OoAA2s"/&gt;&lt;style id="http://www.zotero.org/styles/nature-methods" hasBibliography="1" bibliographyStyleHasBeenSet="1"/&gt;&lt;prefs&gt;&lt;pref name="fieldType" value="Field"/&gt;&lt;/prefs&gt;&lt;/data&gt;</vt:lpwstr>
  </property>
</Properties>
</file>