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1512" w:rsidRDefault="007B7EB0">
      <w:r w:rsidRPr="008C1BC0">
        <w:t>How does allocation of funding to London local authorities affect obesity cases during 2008 and 2018?</w:t>
      </w:r>
    </w:p>
    <w:p w:rsidR="00517C4E" w:rsidRPr="008C1BC0" w:rsidRDefault="00517C4E"/>
    <w:p w:rsidR="007B7EB0" w:rsidRDefault="00517C4E">
      <w:r>
        <w:t>Introduction</w:t>
      </w:r>
    </w:p>
    <w:p w:rsidR="00517C4E" w:rsidRPr="008C1BC0" w:rsidRDefault="00517C4E"/>
    <w:p w:rsidR="00C1622E" w:rsidRDefault="007B7EB0">
      <w:r w:rsidRPr="008C1BC0">
        <w:t>Today</w:t>
      </w:r>
      <w:r w:rsidR="008966E8">
        <w:t xml:space="preserve">, </w:t>
      </w:r>
      <w:r w:rsidR="00B51CD2">
        <w:t xml:space="preserve">almost </w:t>
      </w:r>
      <w:r w:rsidR="008966E8">
        <w:t>one in five Year 6 children</w:t>
      </w:r>
      <w:r w:rsidR="00B51CD2">
        <w:t xml:space="preserve"> in the UK</w:t>
      </w:r>
      <w:r w:rsidR="008966E8">
        <w:t xml:space="preserve"> is found to be obese, and </w:t>
      </w:r>
      <w:r w:rsidR="00B51CD2">
        <w:t xml:space="preserve">sadly </w:t>
      </w:r>
      <w:r w:rsidR="008966E8">
        <w:t>this number is not dropping during the past few years</w:t>
      </w:r>
      <w:r w:rsidR="00B51CD2">
        <w:t xml:space="preserve"> </w:t>
      </w:r>
      <w:r w:rsidR="00696844">
        <w:fldChar w:fldCharType="begin"/>
      </w:r>
      <w:r w:rsidR="00696844">
        <w:instrText xml:space="preserve"> ADDIN ZOTERO_ITEM CSL_CITATION {"citationID":"z5FvatS3","properties":{"formattedCitation":"(NHS, 2018)","plainCitation":"(NHS, 2018)","noteIndex":0},"citationItems":[{"id":10,"uris":["http://zotero.org/users/local/RSrdM2B3/items/K4QSNQGL"],"uri":["http://zotero.org/users/local/RSrdM2B3/items/K4QSNQGL"],"itemData":{"id":10,"type":"webpage","title":"National Child Measurement Programme, England 2018/19 School Year.","URL":"https://digital.nhs.uk/data-and-information/publications/statistical/national-child-measurement-programme/2018-19-school-year","author":[{"family":"NHS","given":""}],"issued":{"date-parts":[["2018"]]}}}],"schema":"https://github.com/citation-style-language/schema/raw/master/csl-citation.json"} </w:instrText>
      </w:r>
      <w:r w:rsidR="00696844">
        <w:fldChar w:fldCharType="separate"/>
      </w:r>
      <w:r w:rsidR="00696844">
        <w:rPr>
          <w:noProof/>
        </w:rPr>
        <w:t>(NHS, 2018)</w:t>
      </w:r>
      <w:r w:rsidR="00696844">
        <w:fldChar w:fldCharType="end"/>
      </w:r>
      <w:r w:rsidR="008966E8">
        <w:t xml:space="preserve">. </w:t>
      </w:r>
      <w:r w:rsidR="00924ED0">
        <w:t xml:space="preserve">The origins of childhood obesity stem from various aspects, including lifestyle issues, genetic and environmental causes. </w:t>
      </w:r>
      <w:r w:rsidR="00C15DE6">
        <w:t xml:space="preserve">The government has been taking considerable forms of actions to tackle this problem from its root, from sugar reduction to advertising and promotions. </w:t>
      </w:r>
      <w:r w:rsidR="00C1622E">
        <w:t>This</w:t>
      </w:r>
      <w:r w:rsidR="00C15DE6">
        <w:t xml:space="preserve"> study</w:t>
      </w:r>
      <w:r w:rsidR="00C1622E">
        <w:t xml:space="preserve"> investigates how government has been allocating their funding to local authorities in London, and the performance of local authorities using said funding. </w:t>
      </w:r>
    </w:p>
    <w:p w:rsidR="00353F15" w:rsidRPr="00C15DE6" w:rsidRDefault="00353F15">
      <w:pPr>
        <w:rPr>
          <w:lang w:val="en-US"/>
        </w:rPr>
      </w:pPr>
    </w:p>
    <w:p w:rsidR="008E7FDC" w:rsidRDefault="007569B9">
      <w:r>
        <w:t>Part</w:t>
      </w:r>
      <w:r w:rsidR="00D977CD">
        <w:t xml:space="preserve"> 1: </w:t>
      </w:r>
    </w:p>
    <w:p w:rsidR="00D977CD" w:rsidRDefault="009A479B">
      <w:r>
        <w:t xml:space="preserve">What affects </w:t>
      </w:r>
      <w:r w:rsidR="007569B9">
        <w:t xml:space="preserve">the </w:t>
      </w:r>
      <w:r w:rsidR="00A068D9">
        <w:t>amount</w:t>
      </w:r>
      <w:r w:rsidR="00F13B07">
        <w:t xml:space="preserve"> of funding</w:t>
      </w:r>
      <w:r w:rsidR="00A068D9">
        <w:t xml:space="preserve"> </w:t>
      </w:r>
      <w:r>
        <w:t>allocated to local authorities in London?</w:t>
      </w:r>
      <w:r w:rsidR="00F13B07">
        <w:t xml:space="preserve"> </w:t>
      </w:r>
    </w:p>
    <w:p w:rsidR="0037775A" w:rsidRDefault="0037775A"/>
    <w:p w:rsidR="00924ED0" w:rsidRDefault="00924ED0">
      <w:r>
        <w:t>Dat</w:t>
      </w:r>
      <w:r w:rsidR="006D3775">
        <w:t>a</w:t>
      </w:r>
    </w:p>
    <w:p w:rsidR="009B3494" w:rsidRDefault="006D3775">
      <w:r>
        <w:rPr>
          <w:rFonts w:hint="eastAsia"/>
        </w:rPr>
        <w:t>T</w:t>
      </w:r>
      <w:r>
        <w:t xml:space="preserve">he data used in this study contains population, obesity cases, total budget, and allocation of funding for local authorities across </w:t>
      </w:r>
      <w:r w:rsidR="006F1367">
        <w:t>London</w:t>
      </w:r>
      <w:r w:rsidR="009B3494">
        <w:t xml:space="preserve"> in 2018</w:t>
      </w:r>
      <w:r>
        <w:t xml:space="preserve">. </w:t>
      </w:r>
      <w:r w:rsidR="002B3021">
        <w:t>An illustration of data employed is shown in Table 1:</w:t>
      </w:r>
    </w:p>
    <w:p w:rsidR="006D3775" w:rsidRDefault="006D3775"/>
    <w:tbl>
      <w:tblPr>
        <w:tblStyle w:val="a4"/>
        <w:tblW w:w="8320" w:type="dxa"/>
        <w:tblLayout w:type="fixed"/>
        <w:tblLook w:val="04A0" w:firstRow="1" w:lastRow="0" w:firstColumn="1" w:lastColumn="0" w:noHBand="0" w:noVBand="1"/>
      </w:tblPr>
      <w:tblGrid>
        <w:gridCol w:w="562"/>
        <w:gridCol w:w="1276"/>
        <w:gridCol w:w="709"/>
        <w:gridCol w:w="567"/>
        <w:gridCol w:w="992"/>
        <w:gridCol w:w="851"/>
        <w:gridCol w:w="992"/>
        <w:gridCol w:w="709"/>
        <w:gridCol w:w="567"/>
        <w:gridCol w:w="1095"/>
      </w:tblGrid>
      <w:tr w:rsidR="009B3494" w:rsidRPr="00EA3AC0" w:rsidTr="006F1367">
        <w:trPr>
          <w:trHeight w:val="277"/>
        </w:trPr>
        <w:tc>
          <w:tcPr>
            <w:tcW w:w="562" w:type="dxa"/>
          </w:tcPr>
          <w:p w:rsidR="009B3494" w:rsidRPr="006F1367" w:rsidRDefault="009B3494"/>
        </w:tc>
        <w:tc>
          <w:tcPr>
            <w:tcW w:w="1276"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876"/>
            </w:tblGrid>
            <w:tr w:rsidR="009B3494" w:rsidRPr="00EA3AC0" w:rsidTr="009B3494">
              <w:trPr>
                <w:tblHeader/>
              </w:trPr>
              <w:tc>
                <w:tcPr>
                  <w:tcW w:w="1876" w:type="dxa"/>
                  <w:tcBorders>
                    <w:top w:val="nil"/>
                    <w:left w:val="nil"/>
                    <w:bottom w:val="nil"/>
                    <w:right w:val="nil"/>
                  </w:tcBorders>
                  <w:tcMar>
                    <w:top w:w="120" w:type="dxa"/>
                    <w:left w:w="120" w:type="dxa"/>
                    <w:bottom w:w="120" w:type="dxa"/>
                    <w:right w:w="120" w:type="dxa"/>
                  </w:tcMar>
                  <w:vAlign w:val="center"/>
                  <w:hideMark/>
                </w:tcPr>
                <w:p w:rsidR="009B3494" w:rsidRPr="006F1367" w:rsidRDefault="009B3494" w:rsidP="009B3494">
                  <w:proofErr w:type="spellStart"/>
                  <w:r w:rsidRPr="006F1367">
                    <w:t>local_authority_area</w:t>
                  </w:r>
                  <w:proofErr w:type="spellEnd"/>
                </w:p>
              </w:tc>
            </w:tr>
          </w:tbl>
          <w:p w:rsidR="009B3494" w:rsidRPr="006F1367" w:rsidRDefault="009B3494"/>
        </w:tc>
        <w:tc>
          <w:tcPr>
            <w:tcW w:w="709" w:type="dxa"/>
          </w:tcPr>
          <w:p w:rsidR="009B3494" w:rsidRPr="006F1367" w:rsidRDefault="009B3494" w:rsidP="006F1367">
            <w:proofErr w:type="spellStart"/>
            <w:r w:rsidRPr="006F1367">
              <w:t>cases_total</w:t>
            </w:r>
            <w:proofErr w:type="spellEnd"/>
          </w:p>
        </w:tc>
        <w:tc>
          <w:tcPr>
            <w:tcW w:w="567" w:type="dxa"/>
          </w:tcPr>
          <w:p w:rsidR="009B3494" w:rsidRPr="006F1367" w:rsidRDefault="009B3494" w:rsidP="006F1367">
            <w:proofErr w:type="spellStart"/>
            <w:r w:rsidRPr="006F1367">
              <w:t>pop_total</w:t>
            </w:r>
            <w:proofErr w:type="spellEnd"/>
          </w:p>
        </w:tc>
        <w:tc>
          <w:tcPr>
            <w:tcW w:w="992" w:type="dxa"/>
          </w:tcPr>
          <w:p w:rsidR="009B3494" w:rsidRPr="006F1367" w:rsidRDefault="009B3494">
            <w:r w:rsidRPr="006F1367">
              <w:t>Obes</w:t>
            </w:r>
            <w:r w:rsidR="003E0276" w:rsidRPr="006F1367">
              <w:t>e</w:t>
            </w:r>
            <w:r w:rsidRPr="006F1367">
              <w:t xml:space="preserve"> density</w:t>
            </w:r>
          </w:p>
        </w:tc>
        <w:tc>
          <w:tcPr>
            <w:tcW w:w="851" w:type="dxa"/>
          </w:tcPr>
          <w:p w:rsidR="009B3494" w:rsidRPr="006F1367" w:rsidRDefault="009B3494" w:rsidP="006F1367">
            <w:proofErr w:type="spellStart"/>
            <w:r w:rsidRPr="006F1367">
              <w:t>total_budget</w:t>
            </w:r>
            <w:proofErr w:type="spellEnd"/>
          </w:p>
        </w:tc>
        <w:tc>
          <w:tcPr>
            <w:tcW w:w="992" w:type="dxa"/>
          </w:tcPr>
          <w:p w:rsidR="009B3494" w:rsidRPr="006F1367" w:rsidRDefault="009B3494" w:rsidP="006F1367">
            <w:proofErr w:type="spellStart"/>
            <w:r w:rsidRPr="006F1367">
              <w:t>clean_air_p</w:t>
            </w:r>
            <w:proofErr w:type="spellEnd"/>
          </w:p>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0</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5</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13</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16</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bl>
    <w:p w:rsidR="0095715B" w:rsidRPr="0095715B" w:rsidRDefault="0095715B"/>
    <w:p w:rsidR="009B3494" w:rsidRDefault="006D3775">
      <w:r>
        <w:t xml:space="preserve">Table 1 </w:t>
      </w:r>
      <w:r w:rsidR="009B3494">
        <w:t xml:space="preserve">illustration of data </w:t>
      </w:r>
      <w:proofErr w:type="gramStart"/>
      <w:r w:rsidR="009B3494">
        <w:t>used</w:t>
      </w:r>
      <w:r w:rsidR="00EA3AC0">
        <w:t>,</w:t>
      </w:r>
      <w:proofErr w:type="gramEnd"/>
      <w:r w:rsidR="00EA3AC0">
        <w:t xml:space="preserve"> list of column names includes: </w:t>
      </w:r>
    </w:p>
    <w:p w:rsidR="00EA3AC0" w:rsidRPr="00EA3AC0" w:rsidRDefault="00EA3AC0" w:rsidP="00EA3AC0">
      <w:pPr>
        <w:rPr>
          <w:lang w:val="en-US"/>
        </w:rPr>
      </w:pPr>
      <w:r>
        <w:rPr>
          <w:lang w:val="en-US"/>
        </w:rPr>
        <w:t>Names of l</w:t>
      </w:r>
      <w:r w:rsidRPr="00EA3AC0">
        <w:rPr>
          <w:lang w:val="en-US"/>
        </w:rPr>
        <w:t>ocal authority area</w:t>
      </w:r>
      <w:r>
        <w:rPr>
          <w:lang w:val="en-US"/>
        </w:rPr>
        <w:t>; total obesity cases in each area; total population; obesity density (</w:t>
      </w:r>
      <w:r>
        <w:t xml:space="preserve">obesity cases divided by population); total budget allocated; percent of budget spent on improving air quality, cleaner environment, health training, raising school awareness, media awareness and subsiding counselling. </w:t>
      </w:r>
    </w:p>
    <w:p w:rsidR="0095715B" w:rsidRDefault="0095715B"/>
    <w:p w:rsidR="006D3775" w:rsidRPr="006D3775" w:rsidRDefault="00F1306E">
      <w:r>
        <w:t>Only one observation is considered an outlier</w:t>
      </w:r>
      <w:r w:rsidR="00C02379">
        <w:t xml:space="preserve"> due to its relatively small scale,</w:t>
      </w:r>
      <w:r w:rsidR="00551F52">
        <w:t xml:space="preserve"> and therefore dropped from the dataset</w:t>
      </w:r>
      <w:r>
        <w:t>, City of London data</w:t>
      </w:r>
      <w:r w:rsidR="005646BC">
        <w:t>. Its population is below the average population in London boroughs by 97%, h</w:t>
      </w:r>
      <w:r w:rsidR="00A94A4C">
        <w:t>aving this data in the linear regression plot of obesity cases in 2018 vs total budget spent lowers the regression coefficient from 0.437 to 0.349</w:t>
      </w:r>
      <w:r w:rsidR="005646BC">
        <w:t xml:space="preserve">. </w:t>
      </w:r>
    </w:p>
    <w:p w:rsidR="00924ED0" w:rsidRDefault="00924ED0">
      <w:r>
        <w:t>Methodology</w:t>
      </w:r>
    </w:p>
    <w:p w:rsidR="00112737" w:rsidRDefault="00112737">
      <w:r>
        <w:t xml:space="preserve">Three approaches </w:t>
      </w:r>
      <w:r w:rsidR="00126924">
        <w:t xml:space="preserve">were taken to investigate the </w:t>
      </w:r>
      <w:r w:rsidR="00CD7CBF">
        <w:t>criteria of</w:t>
      </w:r>
      <w:r w:rsidR="00126924">
        <w:t xml:space="preserve"> funding</w:t>
      </w:r>
      <w:r w:rsidR="00CD7CBF">
        <w:t>:</w:t>
      </w:r>
    </w:p>
    <w:p w:rsidR="00D264FA" w:rsidRDefault="001D720D" w:rsidP="00DC5A65">
      <w:pPr>
        <w:pStyle w:val="a3"/>
        <w:numPr>
          <w:ilvl w:val="0"/>
          <w:numId w:val="1"/>
        </w:numPr>
        <w:ind w:firstLineChars="0"/>
        <w:rPr>
          <w:rFonts w:hint="eastAsia"/>
        </w:rPr>
      </w:pPr>
      <w:r>
        <w:t>A</w:t>
      </w:r>
      <w:r w:rsidR="00CC2163">
        <w:t xml:space="preserve"> linear line was fitted </w:t>
      </w:r>
      <w:r w:rsidR="00126924">
        <w:t xml:space="preserve">using </w:t>
      </w:r>
      <w:proofErr w:type="spellStart"/>
      <w:proofErr w:type="gramStart"/>
      <w:r w:rsidR="00126924" w:rsidRPr="00126924">
        <w:t>scipy.stats</w:t>
      </w:r>
      <w:proofErr w:type="gramEnd"/>
      <w:r w:rsidR="00126924">
        <w:t>.linregress</w:t>
      </w:r>
      <w:proofErr w:type="spellEnd"/>
      <w:r w:rsidR="00126924">
        <w:t>()</w:t>
      </w:r>
      <w:r w:rsidR="00CD7CBF">
        <w:t xml:space="preserve"> between total budget spent </w:t>
      </w:r>
      <w:r>
        <w:t>and</w:t>
      </w:r>
      <w:r w:rsidR="00CD7CBF">
        <w:t xml:space="preserve"> </w:t>
      </w:r>
      <w:r w:rsidR="00CD7CBF">
        <w:lastRenderedPageBreak/>
        <w:t xml:space="preserve">obesity density. </w:t>
      </w:r>
    </w:p>
    <w:p w:rsidR="00255B40" w:rsidRDefault="00255B40" w:rsidP="00614A6B">
      <w:pPr>
        <w:pStyle w:val="a3"/>
        <w:ind w:left="360" w:firstLineChars="0" w:firstLine="0"/>
      </w:pPr>
    </w:p>
    <w:p w:rsidR="007D31F2" w:rsidRPr="00307E2B" w:rsidRDefault="006F1367" w:rsidP="00307E2B">
      <w:pPr>
        <w:pStyle w:val="a3"/>
        <w:numPr>
          <w:ilvl w:val="0"/>
          <w:numId w:val="1"/>
        </w:numPr>
        <w:ind w:firstLineChars="0"/>
        <w:rPr>
          <w:lang w:val="en-US"/>
        </w:rPr>
      </w:pPr>
      <w:r>
        <w:rPr>
          <w:rFonts w:hint="eastAsia"/>
        </w:rPr>
        <w:t>A</w:t>
      </w:r>
      <w:r>
        <w:t xml:space="preserve"> more outlier-robust linear approach, called Random Sample Consensus (RANSAC) was used. This method compliments the ordinary least squares methods by adding detections of outliers and accord them to have no influence on the parameters of the model </w:t>
      </w:r>
      <w:r w:rsidRPr="007D31F2">
        <w:rPr>
          <w:lang w:val="en-US"/>
        </w:rPr>
        <w:fldChar w:fldCharType="begin"/>
      </w:r>
      <w:r w:rsidRPr="007D31F2">
        <w:rPr>
          <w:lang w:val="en-US"/>
        </w:rPr>
        <w:instrText xml:space="preserve"> ADDIN ZOTERO_ITEM CSL_CITATION {"citationID":"BzuZGDVO","properties":{"formattedCitation":"(Fischler and Bolles, 1981)","plainCitation":"(Fischler and Bolles, 1981)","noteIndex":0},"citationItems":[{"id":6,"uris":["http://zotero.org/users/local/RSrdM2B3/items/CIKG2283"],"uri":["http://zotero.org/users/local/RSrdM2B3/items/CIKG2283"],"itemData":{"id":6,"type":"article-journal","container-title":"Communications of the ACM","DOI":"10.1145/358669.358692","ISSN":"0001-0782, 1557-7317","issue":"6","journalAbbreviation":"Commun. ACM","language":"en","page":"381-395","source":"DOI.org (Crossref)","title":"Random sample consensus: a paradigm for model fitting with applications to image analysis and automated cartography","title-short":"Random sample consensus","volume":"24","author":[{"family":"Fischler","given":"Martin A."},{"family":"Bolles","given":"Robert C."}],"issued":{"date-parts":[["1981",6]]}}}],"schema":"https://github.com/citation-style-language/schema/raw/master/csl-citation.json"} </w:instrText>
      </w:r>
      <w:r w:rsidRPr="007D31F2">
        <w:rPr>
          <w:lang w:val="en-US"/>
        </w:rPr>
        <w:fldChar w:fldCharType="separate"/>
      </w:r>
      <w:r w:rsidRPr="007D31F2">
        <w:rPr>
          <w:noProof/>
          <w:lang w:val="en-US"/>
        </w:rPr>
        <w:t>(Fischler and Bolles, 1981)</w:t>
      </w:r>
      <w:r w:rsidRPr="007D31F2">
        <w:rPr>
          <w:lang w:val="en-US"/>
        </w:rPr>
        <w:fldChar w:fldCharType="end"/>
      </w:r>
      <w:r w:rsidRPr="007D31F2">
        <w:rPr>
          <w:lang w:val="en-US"/>
        </w:rPr>
        <w:t xml:space="preserve">. </w:t>
      </w:r>
      <w:r w:rsidR="00CC0B9C">
        <w:rPr>
          <w:lang w:val="en-US"/>
        </w:rPr>
        <w:t>I</w:t>
      </w:r>
      <w:r w:rsidR="00CC0B9C">
        <w:rPr>
          <w:lang w:val="en-US"/>
        </w:rPr>
        <w:t xml:space="preserve">n </w:t>
      </w:r>
      <w:proofErr w:type="spellStart"/>
      <w:r w:rsidR="00CC0B9C">
        <w:rPr>
          <w:lang w:val="en-US"/>
        </w:rPr>
        <w:t>sklearn.linear_model.RANSACRegressor</w:t>
      </w:r>
      <w:proofErr w:type="spellEnd"/>
      <w:r w:rsidR="00CC0B9C">
        <w:rPr>
          <w:lang w:val="en-US"/>
        </w:rPr>
        <w:t>()</w:t>
      </w:r>
      <w:r w:rsidR="00CC0B9C">
        <w:rPr>
          <w:lang w:val="en-US"/>
        </w:rPr>
        <w:t>, o</w:t>
      </w:r>
      <w:r w:rsidR="007219BC" w:rsidRPr="007D31F2">
        <w:rPr>
          <w:lang w:val="en-US"/>
        </w:rPr>
        <w:t xml:space="preserve">utliers are classified as </w:t>
      </w:r>
      <w:r w:rsidR="00307E2B">
        <w:rPr>
          <w:lang w:val="en-US"/>
        </w:rPr>
        <w:t xml:space="preserve">those whose residual exceed the median absolute deviation of dependent variables </w:t>
      </w:r>
      <w:r w:rsidR="007D31F2" w:rsidRPr="00307E2B">
        <w:rPr>
          <w:lang w:val="en-US"/>
        </w:rPr>
        <w:fldChar w:fldCharType="begin"/>
      </w:r>
      <w:r w:rsidR="007D31F2" w:rsidRPr="00307E2B">
        <w:rPr>
          <w:lang w:val="en-US"/>
        </w:rPr>
        <w:instrText xml:space="preserve"> ADDIN ZOTERO_ITEM CSL_CITATION {"citationID":"em1qkAId","properties":{"formattedCitation":"(Pedregosa, F. {\\i{}et al.}, 2011)","plainCitation":"(Pedregosa, F. et al., 2011)","noteIndex":0},"citationItems":[{"id":13,"uris":["http://zotero.org/users/local/RSrdM2B3/items/4H6KQV3J"],"uri":["http://zotero.org/users/local/RSrdM2B3/items/4H6KQV3J"],"itemData":{"id":13,"type":"article-journal","container-title":"Journal of Machine Learning Research","issue":"12","page":"2825-2830","title":"Scikit-learn: Machine Learning in Python","author":[{"family":"Pedregosa, F.","given":""},{"family":"Varoquaux, G.","given":""},{"literal":"Gramfort, A."},{"literal":"Michel, V."}],"issued":{"date-parts":[["2011"]]}}}],"schema":"https://github.com/citation-style-language/schema/raw/master/csl-citation.json"} </w:instrText>
      </w:r>
      <w:r w:rsidR="007D31F2" w:rsidRPr="00307E2B">
        <w:rPr>
          <w:lang w:val="en-US"/>
        </w:rPr>
        <w:fldChar w:fldCharType="separate"/>
      </w:r>
      <w:r w:rsidR="007D31F2" w:rsidRPr="00307E2B">
        <w:rPr>
          <w:rFonts w:ascii="DengXian" w:eastAsia="DengXian" w:cs="Times New Roman"/>
          <w:kern w:val="0"/>
        </w:rPr>
        <w:t>(</w:t>
      </w:r>
      <w:proofErr w:type="spellStart"/>
      <w:r w:rsidR="007D31F2" w:rsidRPr="00307E2B">
        <w:rPr>
          <w:rFonts w:ascii="DengXian" w:eastAsia="DengXian" w:cs="Times New Roman"/>
          <w:kern w:val="0"/>
        </w:rPr>
        <w:t>Pedregosa</w:t>
      </w:r>
      <w:proofErr w:type="spellEnd"/>
      <w:r w:rsidR="007D31F2" w:rsidRPr="00307E2B">
        <w:rPr>
          <w:rFonts w:ascii="DengXian" w:eastAsia="DengXian" w:cs="Times New Roman"/>
          <w:kern w:val="0"/>
        </w:rPr>
        <w:t xml:space="preserve">, F. </w:t>
      </w:r>
      <w:r w:rsidR="007D31F2" w:rsidRPr="00307E2B">
        <w:rPr>
          <w:rFonts w:ascii="DengXian" w:eastAsia="DengXian" w:cs="Times New Roman"/>
          <w:i/>
          <w:iCs/>
          <w:kern w:val="0"/>
        </w:rPr>
        <w:t>et al.</w:t>
      </w:r>
      <w:r w:rsidR="007D31F2" w:rsidRPr="00307E2B">
        <w:rPr>
          <w:rFonts w:ascii="DengXian" w:eastAsia="DengXian" w:cs="Times New Roman"/>
          <w:kern w:val="0"/>
        </w:rPr>
        <w:t>, 2011)</w:t>
      </w:r>
      <w:r w:rsidR="007D31F2" w:rsidRPr="00307E2B">
        <w:rPr>
          <w:lang w:val="en-US"/>
        </w:rPr>
        <w:fldChar w:fldCharType="end"/>
      </w:r>
      <w:r w:rsidR="00307E2B">
        <w:rPr>
          <w:lang w:val="en-US"/>
        </w:rPr>
        <w:t xml:space="preserve">. </w:t>
      </w:r>
    </w:p>
    <w:p w:rsidR="00CC2163" w:rsidRDefault="00CC2163">
      <w:pPr>
        <w:rPr>
          <w:rFonts w:hint="eastAsia"/>
        </w:rPr>
      </w:pPr>
    </w:p>
    <w:p w:rsidR="00CC2163" w:rsidRDefault="00DC5A65" w:rsidP="00112737">
      <w:pPr>
        <w:pStyle w:val="a3"/>
        <w:numPr>
          <w:ilvl w:val="0"/>
          <w:numId w:val="1"/>
        </w:numPr>
        <w:ind w:firstLineChars="0"/>
      </w:pPr>
      <w:r>
        <w:t>Finally, a</w:t>
      </w:r>
      <w:r w:rsidR="00CC2163">
        <w:t xml:space="preserve"> non-linear approach was taken. </w:t>
      </w:r>
      <w:r w:rsidR="005340C5">
        <w:t>P</w:t>
      </w:r>
      <w:r w:rsidR="00CC2163">
        <w:t xml:space="preserve">olynomial </w:t>
      </w:r>
      <w:r w:rsidR="005340C5">
        <w:t>regression</w:t>
      </w:r>
      <w:r w:rsidR="00CC2163">
        <w:t xml:space="preserve"> </w:t>
      </w:r>
      <w:r w:rsidR="005340C5">
        <w:t xml:space="preserve">of various degrees </w:t>
      </w:r>
      <w:r w:rsidR="00CC2163">
        <w:t xml:space="preserve">was fitted to the data using </w:t>
      </w:r>
      <w:proofErr w:type="spellStart"/>
      <w:proofErr w:type="gramStart"/>
      <w:r w:rsidR="00D264FA">
        <w:t>numpy.polyfit</w:t>
      </w:r>
      <w:proofErr w:type="spellEnd"/>
      <w:proofErr w:type="gramEnd"/>
      <w:r w:rsidR="00D264FA">
        <w:t xml:space="preserve">() in Python. </w:t>
      </w:r>
    </w:p>
    <w:p w:rsidR="00112737" w:rsidRDefault="00112737"/>
    <w:p w:rsidR="00924ED0" w:rsidRDefault="00924ED0">
      <w:r>
        <w:rPr>
          <w:rFonts w:hint="eastAsia"/>
        </w:rPr>
        <w:t>R</w:t>
      </w:r>
      <w:r>
        <w:t>esults</w:t>
      </w:r>
    </w:p>
    <w:p w:rsidR="005340C5" w:rsidRDefault="005340C5"/>
    <w:p w:rsidR="009B307A" w:rsidRDefault="00CD7CBF" w:rsidP="00126924">
      <w:pPr>
        <w:pStyle w:val="a3"/>
        <w:numPr>
          <w:ilvl w:val="0"/>
          <w:numId w:val="2"/>
        </w:numPr>
        <w:ind w:firstLineChars="0"/>
      </w:pPr>
      <w:r>
        <w:t xml:space="preserve">Logically one might assume that the more obesity cases discovered per unit population, the more funding would be allocated. </w:t>
      </w:r>
      <w:r w:rsidR="00285DCE">
        <w:t xml:space="preserve">The linear line fitted to total budget spent vs obesity density yields a coefficient of determination of </w:t>
      </w:r>
      <w:r w:rsidR="007524AE">
        <w:t>0.002</w:t>
      </w:r>
      <w:r w:rsidR="00285DCE">
        <w:t xml:space="preserve">, which means that only </w:t>
      </w:r>
      <w:r w:rsidR="007524AE">
        <w:t>0.2</w:t>
      </w:r>
      <w:r w:rsidR="00285DCE">
        <w:t>% of the variance of dependent variable</w:t>
      </w:r>
      <w:r w:rsidR="009B307A">
        <w:t xml:space="preserve"> </w:t>
      </w:r>
      <w:r w:rsidR="00285DCE">
        <w:t>(total budget) is explained by independent variable</w:t>
      </w:r>
      <w:r w:rsidR="009B307A">
        <w:t xml:space="preserve"> </w:t>
      </w:r>
      <w:r w:rsidR="00285DCE">
        <w:t xml:space="preserve">(obesity density). </w:t>
      </w:r>
      <w:r w:rsidR="003B34B2">
        <w:t>Log transformations</w:t>
      </w:r>
      <w:r w:rsidR="00162BE4">
        <w:t xml:space="preserve"> </w:t>
      </w:r>
      <w:r w:rsidR="003B34B2">
        <w:t xml:space="preserve">were also applied to the variables, </w:t>
      </w:r>
      <w:r w:rsidR="007524AE">
        <w:t xml:space="preserve">associated parameters are shown in </w:t>
      </w:r>
      <w:proofErr w:type="gramStart"/>
      <w:r w:rsidR="007524AE">
        <w:t>Table ????</w:t>
      </w:r>
      <w:proofErr w:type="gramEnd"/>
    </w:p>
    <w:p w:rsidR="001D730D" w:rsidRDefault="001D730D" w:rsidP="001D730D">
      <w:pPr>
        <w:pStyle w:val="a3"/>
        <w:ind w:left="360" w:firstLineChars="0" w:firstLine="0"/>
        <w:rPr>
          <w:rFonts w:hint="eastAsia"/>
        </w:rPr>
      </w:pPr>
    </w:p>
    <w:tbl>
      <w:tblPr>
        <w:tblStyle w:val="a4"/>
        <w:tblW w:w="7999" w:type="dxa"/>
        <w:tblInd w:w="360" w:type="dxa"/>
        <w:tblLook w:val="04A0" w:firstRow="1" w:lastRow="0" w:firstColumn="1" w:lastColumn="0" w:noHBand="0" w:noVBand="1"/>
      </w:tblPr>
      <w:tblGrid>
        <w:gridCol w:w="2080"/>
        <w:gridCol w:w="1241"/>
        <w:gridCol w:w="1350"/>
        <w:gridCol w:w="1263"/>
        <w:gridCol w:w="2065"/>
      </w:tblGrid>
      <w:tr w:rsidR="005646BC" w:rsidTr="005646BC">
        <w:tc>
          <w:tcPr>
            <w:tcW w:w="2080" w:type="dxa"/>
          </w:tcPr>
          <w:p w:rsidR="005646BC" w:rsidRDefault="005646BC" w:rsidP="009B307A">
            <w:pPr>
              <w:pStyle w:val="a3"/>
              <w:ind w:firstLineChars="0" w:firstLine="0"/>
            </w:pPr>
          </w:p>
        </w:tc>
        <w:tc>
          <w:tcPr>
            <w:tcW w:w="1241" w:type="dxa"/>
          </w:tcPr>
          <w:p w:rsidR="005646BC" w:rsidRDefault="005646BC" w:rsidP="009B307A">
            <w:pPr>
              <w:pStyle w:val="a3"/>
              <w:ind w:firstLineChars="0" w:firstLine="0"/>
            </w:pPr>
            <w:proofErr w:type="spellStart"/>
            <w:proofErr w:type="gramStart"/>
            <w:r>
              <w:t>X,y</w:t>
            </w:r>
            <w:proofErr w:type="spellEnd"/>
            <w:proofErr w:type="gramEnd"/>
          </w:p>
        </w:tc>
        <w:tc>
          <w:tcPr>
            <w:tcW w:w="1350" w:type="dxa"/>
          </w:tcPr>
          <w:p w:rsidR="005646BC" w:rsidRDefault="005646BC" w:rsidP="009B307A">
            <w:pPr>
              <w:pStyle w:val="a3"/>
              <w:ind w:firstLineChars="0" w:firstLine="0"/>
            </w:pPr>
            <w:r>
              <w:t>Log x, y</w:t>
            </w:r>
          </w:p>
        </w:tc>
        <w:tc>
          <w:tcPr>
            <w:tcW w:w="1263" w:type="dxa"/>
          </w:tcPr>
          <w:p w:rsidR="005646BC" w:rsidRDefault="005646BC" w:rsidP="009B307A">
            <w:pPr>
              <w:pStyle w:val="a3"/>
              <w:ind w:firstLineChars="0" w:firstLine="0"/>
            </w:pPr>
            <w:proofErr w:type="gramStart"/>
            <w:r>
              <w:t>Logy ,x</w:t>
            </w:r>
            <w:proofErr w:type="gramEnd"/>
          </w:p>
        </w:tc>
        <w:tc>
          <w:tcPr>
            <w:tcW w:w="2065" w:type="dxa"/>
          </w:tcPr>
          <w:p w:rsidR="005646BC" w:rsidRDefault="005646BC" w:rsidP="009B307A">
            <w:pPr>
              <w:pStyle w:val="a3"/>
              <w:ind w:firstLineChars="0" w:firstLine="0"/>
            </w:pPr>
            <w:proofErr w:type="spellStart"/>
            <w:r>
              <w:t>Logx</w:t>
            </w:r>
            <w:proofErr w:type="spellEnd"/>
            <w:r>
              <w:t>, logy</w:t>
            </w:r>
          </w:p>
        </w:tc>
      </w:tr>
      <w:tr w:rsidR="005646BC" w:rsidTr="005646BC">
        <w:tc>
          <w:tcPr>
            <w:tcW w:w="2080" w:type="dxa"/>
          </w:tcPr>
          <w:p w:rsidR="005646BC" w:rsidRDefault="005646BC" w:rsidP="009B307A">
            <w:pPr>
              <w:pStyle w:val="a3"/>
              <w:ind w:firstLineChars="0" w:firstLine="0"/>
            </w:pPr>
            <w:r>
              <w:rPr>
                <w:rFonts w:hint="eastAsia"/>
              </w:rPr>
              <w:t>s</w:t>
            </w:r>
            <w:r>
              <w:t>lope</w:t>
            </w:r>
          </w:p>
        </w:tc>
        <w:tc>
          <w:tcPr>
            <w:tcW w:w="1241" w:type="dxa"/>
          </w:tcPr>
          <w:p w:rsidR="005646BC" w:rsidRDefault="005646BC" w:rsidP="009B307A">
            <w:pPr>
              <w:pStyle w:val="a3"/>
              <w:ind w:firstLineChars="0" w:firstLine="0"/>
            </w:pPr>
            <w:r>
              <w:rPr>
                <w:rFonts w:hint="eastAsia"/>
              </w:rPr>
              <w:t>3</w:t>
            </w:r>
            <w:r>
              <w:t>e-9</w:t>
            </w:r>
          </w:p>
        </w:tc>
        <w:tc>
          <w:tcPr>
            <w:tcW w:w="1350" w:type="dxa"/>
          </w:tcPr>
          <w:p w:rsidR="005646BC" w:rsidRDefault="005646BC" w:rsidP="009B307A">
            <w:pPr>
              <w:pStyle w:val="a3"/>
              <w:ind w:firstLineChars="0" w:firstLine="0"/>
            </w:pPr>
            <w:r>
              <w:rPr>
                <w:rFonts w:hint="eastAsia"/>
              </w:rPr>
              <w:t>0</w:t>
            </w:r>
            <w:r>
              <w:t>.001</w:t>
            </w:r>
          </w:p>
        </w:tc>
        <w:tc>
          <w:tcPr>
            <w:tcW w:w="1263" w:type="dxa"/>
          </w:tcPr>
          <w:p w:rsidR="005646BC" w:rsidRDefault="005646BC" w:rsidP="009B307A">
            <w:pPr>
              <w:pStyle w:val="a3"/>
              <w:ind w:firstLineChars="0" w:firstLine="0"/>
            </w:pPr>
            <w:r>
              <w:rPr>
                <w:rFonts w:hint="eastAsia"/>
              </w:rPr>
              <w:t>3</w:t>
            </w:r>
            <w:r>
              <w:t>e-7</w:t>
            </w:r>
          </w:p>
        </w:tc>
        <w:tc>
          <w:tcPr>
            <w:tcW w:w="2065" w:type="dxa"/>
          </w:tcPr>
          <w:p w:rsidR="005646BC" w:rsidRDefault="005646BC" w:rsidP="009B307A">
            <w:pPr>
              <w:pStyle w:val="a3"/>
              <w:ind w:firstLineChars="0" w:firstLine="0"/>
            </w:pPr>
            <w:r>
              <w:rPr>
                <w:rFonts w:hint="eastAsia"/>
              </w:rPr>
              <w:t>0</w:t>
            </w:r>
            <w:r>
              <w:t>.057</w:t>
            </w:r>
          </w:p>
        </w:tc>
      </w:tr>
      <w:tr w:rsidR="005646BC" w:rsidTr="005646BC">
        <w:tc>
          <w:tcPr>
            <w:tcW w:w="2080" w:type="dxa"/>
          </w:tcPr>
          <w:p w:rsidR="005646BC" w:rsidRDefault="005646BC" w:rsidP="009B307A">
            <w:pPr>
              <w:pStyle w:val="a3"/>
              <w:ind w:firstLineChars="0" w:firstLine="0"/>
            </w:pPr>
            <w:r>
              <w:rPr>
                <w:rFonts w:hint="eastAsia"/>
              </w:rPr>
              <w:t>c</w:t>
            </w:r>
            <w:r>
              <w:t>onstant</w:t>
            </w:r>
          </w:p>
        </w:tc>
        <w:tc>
          <w:tcPr>
            <w:tcW w:w="1241" w:type="dxa"/>
          </w:tcPr>
          <w:p w:rsidR="005646BC" w:rsidRDefault="005646BC" w:rsidP="009B307A">
            <w:pPr>
              <w:pStyle w:val="a3"/>
              <w:ind w:firstLineChars="0" w:firstLine="0"/>
            </w:pPr>
            <w:r>
              <w:rPr>
                <w:rFonts w:hint="eastAsia"/>
              </w:rPr>
              <w:t>-</w:t>
            </w:r>
            <w:r>
              <w:t>0.002</w:t>
            </w:r>
          </w:p>
        </w:tc>
        <w:tc>
          <w:tcPr>
            <w:tcW w:w="1350" w:type="dxa"/>
          </w:tcPr>
          <w:p w:rsidR="005646BC" w:rsidRDefault="005646BC" w:rsidP="009B307A">
            <w:pPr>
              <w:pStyle w:val="a3"/>
              <w:ind w:firstLineChars="0" w:firstLine="0"/>
            </w:pPr>
            <w:r>
              <w:rPr>
                <w:rFonts w:hint="eastAsia"/>
              </w:rPr>
              <w:t>-</w:t>
            </w:r>
            <w:r>
              <w:t>0.005</w:t>
            </w:r>
          </w:p>
        </w:tc>
        <w:tc>
          <w:tcPr>
            <w:tcW w:w="1263" w:type="dxa"/>
          </w:tcPr>
          <w:p w:rsidR="005646BC" w:rsidRDefault="005646BC" w:rsidP="009B307A">
            <w:pPr>
              <w:pStyle w:val="a3"/>
              <w:ind w:firstLineChars="0" w:firstLine="0"/>
            </w:pPr>
            <w:r>
              <w:rPr>
                <w:rFonts w:hint="eastAsia"/>
              </w:rPr>
              <w:t>0</w:t>
            </w:r>
            <w:r>
              <w:t>.47</w:t>
            </w:r>
          </w:p>
        </w:tc>
        <w:tc>
          <w:tcPr>
            <w:tcW w:w="2065" w:type="dxa"/>
          </w:tcPr>
          <w:p w:rsidR="005646BC" w:rsidRDefault="005646BC" w:rsidP="009B307A">
            <w:pPr>
              <w:pStyle w:val="a3"/>
              <w:ind w:firstLineChars="0" w:firstLine="0"/>
            </w:pPr>
            <w:r>
              <w:rPr>
                <w:rFonts w:hint="eastAsia"/>
              </w:rPr>
              <w:t>-</w:t>
            </w:r>
            <w:r>
              <w:t>0.259</w:t>
            </w:r>
          </w:p>
        </w:tc>
      </w:tr>
      <w:tr w:rsidR="005646BC" w:rsidTr="005646BC">
        <w:tc>
          <w:tcPr>
            <w:tcW w:w="2080" w:type="dxa"/>
          </w:tcPr>
          <w:p w:rsidR="005646BC" w:rsidRDefault="005646BC" w:rsidP="009B307A">
            <w:pPr>
              <w:pStyle w:val="a3"/>
              <w:ind w:firstLineChars="0" w:firstLine="0"/>
            </w:pPr>
            <w:r>
              <w:t>R2</w:t>
            </w:r>
          </w:p>
        </w:tc>
        <w:tc>
          <w:tcPr>
            <w:tcW w:w="1241" w:type="dxa"/>
          </w:tcPr>
          <w:p w:rsidR="005646BC" w:rsidRDefault="005646BC" w:rsidP="009B307A">
            <w:pPr>
              <w:pStyle w:val="a3"/>
              <w:ind w:firstLineChars="0" w:firstLine="0"/>
            </w:pPr>
            <w:r>
              <w:rPr>
                <w:rFonts w:hint="eastAsia"/>
              </w:rPr>
              <w:t>0</w:t>
            </w:r>
            <w:r>
              <w:t>.037</w:t>
            </w:r>
          </w:p>
        </w:tc>
        <w:tc>
          <w:tcPr>
            <w:tcW w:w="1350" w:type="dxa"/>
          </w:tcPr>
          <w:p w:rsidR="005646BC" w:rsidRDefault="005646BC" w:rsidP="009B307A">
            <w:pPr>
              <w:pStyle w:val="a3"/>
              <w:ind w:firstLineChars="0" w:firstLine="0"/>
            </w:pPr>
            <w:r>
              <w:rPr>
                <w:rFonts w:hint="eastAsia"/>
              </w:rPr>
              <w:t>0</w:t>
            </w:r>
            <w:r>
              <w:t>.032</w:t>
            </w:r>
          </w:p>
        </w:tc>
        <w:tc>
          <w:tcPr>
            <w:tcW w:w="1263" w:type="dxa"/>
          </w:tcPr>
          <w:p w:rsidR="005646BC" w:rsidRDefault="005646BC" w:rsidP="009B307A">
            <w:pPr>
              <w:pStyle w:val="a3"/>
              <w:ind w:firstLineChars="0" w:firstLine="0"/>
            </w:pPr>
            <w:r>
              <w:rPr>
                <w:rFonts w:hint="eastAsia"/>
              </w:rPr>
              <w:t>0</w:t>
            </w:r>
            <w:r>
              <w:t>.29</w:t>
            </w:r>
          </w:p>
        </w:tc>
        <w:tc>
          <w:tcPr>
            <w:tcW w:w="2065" w:type="dxa"/>
          </w:tcPr>
          <w:p w:rsidR="005646BC" w:rsidRDefault="005646BC" w:rsidP="009B307A">
            <w:pPr>
              <w:pStyle w:val="a3"/>
              <w:ind w:firstLineChars="0" w:firstLine="0"/>
            </w:pPr>
            <w:r>
              <w:rPr>
                <w:rFonts w:hint="eastAsia"/>
              </w:rPr>
              <w:t>0</w:t>
            </w:r>
            <w:r>
              <w:t>.29</w:t>
            </w:r>
          </w:p>
        </w:tc>
      </w:tr>
      <w:tr w:rsidR="009D12BC" w:rsidTr="005646BC">
        <w:tc>
          <w:tcPr>
            <w:tcW w:w="2080" w:type="dxa"/>
          </w:tcPr>
          <w:p w:rsidR="009D12BC" w:rsidRDefault="009D12BC" w:rsidP="009B307A">
            <w:pPr>
              <w:pStyle w:val="a3"/>
              <w:ind w:firstLineChars="0" w:firstLine="0"/>
            </w:pPr>
            <w:r>
              <w:t>Pearson correlation coefficient</w:t>
            </w:r>
          </w:p>
        </w:tc>
        <w:tc>
          <w:tcPr>
            <w:tcW w:w="1241" w:type="dxa"/>
          </w:tcPr>
          <w:p w:rsidR="009D12BC" w:rsidRDefault="009D12BC" w:rsidP="009B307A">
            <w:pPr>
              <w:pStyle w:val="a3"/>
              <w:ind w:firstLineChars="0" w:firstLine="0"/>
              <w:rPr>
                <w:rFonts w:hint="eastAsia"/>
              </w:rPr>
            </w:pPr>
          </w:p>
        </w:tc>
        <w:tc>
          <w:tcPr>
            <w:tcW w:w="1350" w:type="dxa"/>
          </w:tcPr>
          <w:p w:rsidR="009D12BC" w:rsidRDefault="009D12BC" w:rsidP="009B307A">
            <w:pPr>
              <w:pStyle w:val="a3"/>
              <w:ind w:firstLineChars="0" w:firstLine="0"/>
              <w:rPr>
                <w:rFonts w:hint="eastAsia"/>
              </w:rPr>
            </w:pPr>
          </w:p>
        </w:tc>
        <w:tc>
          <w:tcPr>
            <w:tcW w:w="1263" w:type="dxa"/>
          </w:tcPr>
          <w:p w:rsidR="009D12BC" w:rsidRDefault="009D12BC" w:rsidP="009B307A">
            <w:pPr>
              <w:pStyle w:val="a3"/>
              <w:ind w:firstLineChars="0" w:firstLine="0"/>
              <w:rPr>
                <w:rFonts w:hint="eastAsia"/>
              </w:rPr>
            </w:pPr>
          </w:p>
        </w:tc>
        <w:tc>
          <w:tcPr>
            <w:tcW w:w="2065" w:type="dxa"/>
          </w:tcPr>
          <w:p w:rsidR="009D12BC" w:rsidRDefault="009D12BC" w:rsidP="009B307A">
            <w:pPr>
              <w:pStyle w:val="a3"/>
              <w:ind w:firstLineChars="0" w:firstLine="0"/>
              <w:rPr>
                <w:rFonts w:hint="eastAsia"/>
              </w:rPr>
            </w:pPr>
          </w:p>
        </w:tc>
      </w:tr>
      <w:tr w:rsidR="005646BC" w:rsidTr="005646BC">
        <w:tc>
          <w:tcPr>
            <w:tcW w:w="2080" w:type="dxa"/>
          </w:tcPr>
          <w:p w:rsidR="005646BC" w:rsidRDefault="005646BC" w:rsidP="009B307A">
            <w:pPr>
              <w:pStyle w:val="a3"/>
              <w:ind w:firstLineChars="0" w:firstLine="0"/>
            </w:pPr>
            <w:r>
              <w:t>P value</w:t>
            </w:r>
          </w:p>
        </w:tc>
        <w:tc>
          <w:tcPr>
            <w:tcW w:w="1241" w:type="dxa"/>
          </w:tcPr>
          <w:p w:rsidR="005646BC" w:rsidRDefault="005646BC" w:rsidP="009B307A">
            <w:pPr>
              <w:pStyle w:val="a3"/>
              <w:ind w:firstLineChars="0" w:firstLine="0"/>
            </w:pPr>
            <w:r>
              <w:rPr>
                <w:rFonts w:hint="eastAsia"/>
              </w:rPr>
              <w:t>0</w:t>
            </w:r>
            <w:r>
              <w:t>.29</w:t>
            </w:r>
          </w:p>
        </w:tc>
        <w:tc>
          <w:tcPr>
            <w:tcW w:w="1350" w:type="dxa"/>
          </w:tcPr>
          <w:p w:rsidR="005646BC" w:rsidRDefault="005646BC" w:rsidP="009B307A">
            <w:pPr>
              <w:pStyle w:val="a3"/>
              <w:ind w:firstLineChars="0" w:firstLine="0"/>
            </w:pPr>
            <w:r>
              <w:rPr>
                <w:rFonts w:hint="eastAsia"/>
              </w:rPr>
              <w:t>0</w:t>
            </w:r>
            <w:r>
              <w:t>.32</w:t>
            </w:r>
          </w:p>
        </w:tc>
        <w:tc>
          <w:tcPr>
            <w:tcW w:w="1263" w:type="dxa"/>
          </w:tcPr>
          <w:p w:rsidR="005646BC" w:rsidRDefault="005646BC" w:rsidP="009B307A">
            <w:pPr>
              <w:pStyle w:val="a3"/>
              <w:ind w:firstLineChars="0" w:firstLine="0"/>
            </w:pPr>
            <w:r>
              <w:rPr>
                <w:rFonts w:hint="eastAsia"/>
              </w:rPr>
              <w:t>0</w:t>
            </w:r>
            <w:r>
              <w:t>.001</w:t>
            </w:r>
          </w:p>
        </w:tc>
        <w:tc>
          <w:tcPr>
            <w:tcW w:w="2065" w:type="dxa"/>
          </w:tcPr>
          <w:p w:rsidR="005646BC" w:rsidRDefault="005646BC" w:rsidP="009B307A">
            <w:pPr>
              <w:pStyle w:val="a3"/>
              <w:ind w:firstLineChars="0" w:firstLine="0"/>
            </w:pPr>
            <w:r>
              <w:rPr>
                <w:rFonts w:hint="eastAsia"/>
              </w:rPr>
              <w:t>0</w:t>
            </w:r>
            <w:r>
              <w:t>.002</w:t>
            </w:r>
          </w:p>
        </w:tc>
      </w:tr>
      <w:tr w:rsidR="005646BC" w:rsidTr="005646BC">
        <w:tc>
          <w:tcPr>
            <w:tcW w:w="2080" w:type="dxa"/>
          </w:tcPr>
          <w:p w:rsidR="005646BC" w:rsidRDefault="005646BC" w:rsidP="009B307A">
            <w:pPr>
              <w:pStyle w:val="a3"/>
              <w:ind w:firstLineChars="0" w:firstLine="0"/>
            </w:pPr>
            <w:r>
              <w:t>Relationship implied</w:t>
            </w:r>
          </w:p>
        </w:tc>
        <w:tc>
          <w:tcPr>
            <w:tcW w:w="1241" w:type="dxa"/>
          </w:tcPr>
          <w:p w:rsidR="005646BC" w:rsidRDefault="005646BC" w:rsidP="009B307A">
            <w:pPr>
              <w:pStyle w:val="a3"/>
              <w:ind w:firstLineChars="0" w:firstLine="0"/>
            </w:pPr>
            <w:r>
              <w:rPr>
                <w:rFonts w:hint="eastAsia"/>
              </w:rPr>
              <w:t>l</w:t>
            </w:r>
            <w:r>
              <w:t>inear</w:t>
            </w:r>
          </w:p>
        </w:tc>
        <w:tc>
          <w:tcPr>
            <w:tcW w:w="1350" w:type="dxa"/>
          </w:tcPr>
          <w:p w:rsidR="005646BC" w:rsidRDefault="005646BC" w:rsidP="009B307A">
            <w:pPr>
              <w:pStyle w:val="a3"/>
              <w:ind w:firstLineChars="0" w:firstLine="0"/>
            </w:pPr>
            <w:r>
              <w:rPr>
                <w:rFonts w:hint="eastAsia"/>
              </w:rPr>
              <w:t>e</w:t>
            </w:r>
            <w:r>
              <w:t>xponential</w:t>
            </w:r>
          </w:p>
        </w:tc>
        <w:tc>
          <w:tcPr>
            <w:tcW w:w="1263" w:type="dxa"/>
          </w:tcPr>
          <w:p w:rsidR="005646BC" w:rsidRDefault="005646BC" w:rsidP="009B307A">
            <w:pPr>
              <w:pStyle w:val="a3"/>
              <w:ind w:firstLineChars="0" w:firstLine="0"/>
            </w:pPr>
            <w:r>
              <w:rPr>
                <w:rFonts w:hint="eastAsia"/>
              </w:rPr>
              <w:t>e</w:t>
            </w:r>
            <w:r>
              <w:t>xponential</w:t>
            </w:r>
          </w:p>
        </w:tc>
        <w:tc>
          <w:tcPr>
            <w:tcW w:w="2065" w:type="dxa"/>
          </w:tcPr>
          <w:p w:rsidR="009D12BC" w:rsidRDefault="009D12BC" w:rsidP="009B307A">
            <w:pPr>
              <w:pStyle w:val="a3"/>
              <w:ind w:firstLineChars="0" w:firstLine="0"/>
              <w:rPr>
                <w:rFonts w:hint="eastAsia"/>
              </w:rPr>
            </w:pPr>
            <w:r>
              <w:t>P</w:t>
            </w:r>
            <w:r w:rsidR="005646BC">
              <w:t>ower</w:t>
            </w:r>
          </w:p>
        </w:tc>
      </w:tr>
    </w:tbl>
    <w:p w:rsidR="009B307A" w:rsidRDefault="00162BE4" w:rsidP="009B307A">
      <w:pPr>
        <w:pStyle w:val="a3"/>
        <w:ind w:left="360" w:firstLineChars="0" w:firstLine="0"/>
      </w:pPr>
      <w:r>
        <w:t xml:space="preserve">Table 2: </w:t>
      </w:r>
      <w:r w:rsidR="00296D56">
        <w:t xml:space="preserve">coefficients related to </w:t>
      </w:r>
      <w:r w:rsidR="00E52E2C">
        <w:t>the relationship between total budget spent and obesity density</w:t>
      </w:r>
    </w:p>
    <w:p w:rsidR="009D0A73" w:rsidRDefault="009D0A73" w:rsidP="009D0A73"/>
    <w:p w:rsidR="00CD7CBF" w:rsidRDefault="009D0A73" w:rsidP="00CD7CBF">
      <w:pPr>
        <w:rPr>
          <w:rFonts w:hint="eastAsia"/>
        </w:rPr>
      </w:pPr>
      <w:r>
        <w:t xml:space="preserve">As the maximum value of R2 being under 0.3 in </w:t>
      </w:r>
      <w:r w:rsidR="00285DCE">
        <w:t>T</w:t>
      </w:r>
      <w:r>
        <w:t xml:space="preserve">able </w:t>
      </w:r>
      <w:proofErr w:type="gramStart"/>
      <w:r>
        <w:t>????</w:t>
      </w:r>
      <w:r w:rsidR="00285DCE">
        <w:t xml:space="preserve"> </w:t>
      </w:r>
      <w:r>
        <w:t>,</w:t>
      </w:r>
      <w:proofErr w:type="gramEnd"/>
      <w:r>
        <w:t xml:space="preserve"> this </w:t>
      </w:r>
      <w:r w:rsidR="00285DCE">
        <w:t xml:space="preserve">indicates that </w:t>
      </w:r>
      <w:r>
        <w:t>the amount of funding allocated to local authorities</w:t>
      </w:r>
      <w:r w:rsidR="00285DCE">
        <w:t xml:space="preserve"> </w:t>
      </w:r>
      <w:r w:rsidR="0029469A">
        <w:t>is</w:t>
      </w:r>
      <w:r w:rsidR="00285DCE">
        <w:t xml:space="preserve"> </w:t>
      </w:r>
      <w:r w:rsidR="00513933">
        <w:t xml:space="preserve">extremely </w:t>
      </w:r>
      <w:r w:rsidR="00285DCE">
        <w:t>weak</w:t>
      </w:r>
      <w:r w:rsidR="0029469A">
        <w:t>ly</w:t>
      </w:r>
      <w:r w:rsidR="00285DCE">
        <w:t xml:space="preserve"> </w:t>
      </w:r>
      <w:r>
        <w:t>correlated</w:t>
      </w:r>
      <w:r w:rsidR="00285DCE">
        <w:t xml:space="preserve"> with the </w:t>
      </w:r>
      <w:r w:rsidR="009B307A">
        <w:t>obesity cases per unit population</w:t>
      </w:r>
      <w:r>
        <w:t xml:space="preserve"> by the power law</w:t>
      </w:r>
      <w:r w:rsidR="00513933">
        <w:t>, thus indicating that this relationship is meaning</w:t>
      </w:r>
      <w:r w:rsidR="00ED417B">
        <w:t>less</w:t>
      </w:r>
      <w:r w:rsidR="00513933">
        <w:t xml:space="preserve">. </w:t>
      </w:r>
    </w:p>
    <w:p w:rsidR="005340C5" w:rsidRPr="005340C5" w:rsidRDefault="005340C5"/>
    <w:p w:rsidR="009D12BC" w:rsidRDefault="009D12BC" w:rsidP="00126924">
      <w:pPr>
        <w:pStyle w:val="a3"/>
        <w:numPr>
          <w:ilvl w:val="0"/>
          <w:numId w:val="2"/>
        </w:numPr>
        <w:ind w:firstLineChars="0"/>
      </w:pPr>
      <w:r>
        <w:rPr>
          <w:rFonts w:hint="eastAsia"/>
        </w:rPr>
        <w:t>T</w:t>
      </w:r>
      <w:r>
        <w:t xml:space="preserve">he lack of a meaningful linear relationship could be induced by number of outliers involved. The outliers </w:t>
      </w:r>
      <w:r w:rsidR="00F16803">
        <w:t xml:space="preserve">in this case </w:t>
      </w:r>
      <w:r>
        <w:t>originate from changes in human behavio</w:t>
      </w:r>
      <w:r w:rsidR="00F16803">
        <w:t>u</w:t>
      </w:r>
      <w:r>
        <w:t>r</w:t>
      </w:r>
      <w:r w:rsidR="00F16803">
        <w:t xml:space="preserve">, the government may identify some boroughs need more attention due to other reasons that </w:t>
      </w:r>
      <w:r w:rsidR="00B41E64">
        <w:t>cannot be</w:t>
      </w:r>
      <w:r w:rsidR="00F16803">
        <w:t xml:space="preserve"> demonstrated from statistical measures. </w:t>
      </w:r>
    </w:p>
    <w:p w:rsidR="006510E1" w:rsidRDefault="006510E1" w:rsidP="006510E1">
      <w:pPr>
        <w:pStyle w:val="a3"/>
        <w:ind w:left="360" w:firstLineChars="0" w:firstLine="0"/>
        <w:rPr>
          <w:rFonts w:hint="eastAsia"/>
        </w:rPr>
      </w:pPr>
    </w:p>
    <w:p w:rsidR="009D12BC" w:rsidRDefault="009D12BC" w:rsidP="009D12BC">
      <w:pPr>
        <w:pStyle w:val="a3"/>
        <w:ind w:left="360" w:firstLineChars="0" w:firstLine="0"/>
      </w:pPr>
      <w:r>
        <w:t xml:space="preserve">  </w:t>
      </w:r>
    </w:p>
    <w:p w:rsidR="00112737" w:rsidRDefault="00126924" w:rsidP="00126924">
      <w:pPr>
        <w:pStyle w:val="a3"/>
        <w:numPr>
          <w:ilvl w:val="0"/>
          <w:numId w:val="2"/>
        </w:numPr>
        <w:ind w:firstLineChars="0"/>
      </w:pPr>
      <w:r>
        <w:t>Selected degrees of 2 to 50 of polynomial regression and associated r squared values are displayed in the following table</w:t>
      </w:r>
      <w:r w:rsidR="00EF6F57">
        <w:rPr>
          <w:lang w:val="en-US"/>
        </w:rPr>
        <w:t>.</w:t>
      </w:r>
    </w:p>
    <w:p w:rsidR="00126924" w:rsidRDefault="001D4821" w:rsidP="00126924">
      <w:r>
        <w:rPr>
          <w:rFonts w:hint="eastAsia"/>
        </w:rPr>
        <w:lastRenderedPageBreak/>
        <w:t>t</w:t>
      </w:r>
      <w:r>
        <w:t>able</w:t>
      </w:r>
    </w:p>
    <w:p w:rsidR="00314BF1" w:rsidRDefault="001D4821" w:rsidP="00126924">
      <w:r>
        <w:t>Polynomial graphs</w:t>
      </w:r>
    </w:p>
    <w:p w:rsidR="001D4821" w:rsidRDefault="001D4821" w:rsidP="00126924"/>
    <w:p w:rsidR="00126924" w:rsidRDefault="00A46517" w:rsidP="00126924">
      <w:r>
        <w:t xml:space="preserve">It can be spotted </w:t>
      </w:r>
      <w:r w:rsidR="00126924">
        <w:t xml:space="preserve">that as the degree of polynomial fitted increases, r squared increases. One can deliberately dial the degree up and manipulate r squared to the range accepted, but this would not be a valid approach logically. </w:t>
      </w:r>
      <w:r w:rsidR="000C4893">
        <w:t>If so, the model yielded would be highly influenced by the noise in the dataset, rather than demonstrating the data’s underlying real trend</w:t>
      </w:r>
      <w:r w:rsidR="00314BF1">
        <w:t>. Therefore</w:t>
      </w:r>
      <w:r w:rsidR="001D4821">
        <w:t>,</w:t>
      </w:r>
      <w:r w:rsidR="00314BF1">
        <w:t xml:space="preserve"> there is no </w:t>
      </w:r>
      <w:r w:rsidR="001D4821">
        <w:t xml:space="preserve">appropriate </w:t>
      </w:r>
      <w:r w:rsidR="00314BF1">
        <w:t xml:space="preserve">polynomial </w:t>
      </w:r>
      <w:r w:rsidR="001D4821">
        <w:t>relationship that can be fitted.</w:t>
      </w:r>
    </w:p>
    <w:p w:rsidR="00353AC0" w:rsidRPr="00353AC0" w:rsidRDefault="00353AC0" w:rsidP="00126924"/>
    <w:p w:rsidR="00F13B07" w:rsidRDefault="002C0DF5" w:rsidP="00F13B07">
      <w:r>
        <w:t>Part</w:t>
      </w:r>
      <w:r w:rsidR="00F13B07">
        <w:t xml:space="preserve"> 2: </w:t>
      </w:r>
    </w:p>
    <w:p w:rsidR="00F13B07" w:rsidRDefault="002C0DF5" w:rsidP="00F13B07">
      <w:r>
        <w:t>The relationship between a</w:t>
      </w:r>
      <w:r w:rsidR="00F13B07">
        <w:t xml:space="preserve">reas of funding spent </w:t>
      </w:r>
      <w:r>
        <w:t xml:space="preserve">and </w:t>
      </w:r>
      <w:r w:rsidR="00F13B07">
        <w:t xml:space="preserve">obesity cases. </w:t>
      </w:r>
    </w:p>
    <w:p w:rsidR="00924ED0" w:rsidRDefault="00924ED0"/>
    <w:p w:rsidR="006E57AF" w:rsidRDefault="006E57AF"/>
    <w:p w:rsidR="006E57AF" w:rsidRDefault="006E57AF"/>
    <w:p w:rsidR="006E57AF" w:rsidRDefault="006E57AF"/>
    <w:p w:rsidR="006E57AF" w:rsidRDefault="006E57AF">
      <w:r>
        <w:rPr>
          <w:rFonts w:hint="eastAsia"/>
        </w:rPr>
        <w:t>C</w:t>
      </w:r>
      <w:r>
        <w:t>onclusion</w:t>
      </w:r>
    </w:p>
    <w:p w:rsidR="006E57AF" w:rsidRDefault="006E57AF"/>
    <w:p w:rsidR="002B3021" w:rsidRDefault="006E57AF" w:rsidP="006E57AF">
      <w:r>
        <w:t xml:space="preserve">Hypo 1:  </w:t>
      </w:r>
    </w:p>
    <w:p w:rsidR="006E57AF" w:rsidRDefault="006E57AF" w:rsidP="006E57AF">
      <w:r>
        <w:t xml:space="preserve">Logically, </w:t>
      </w:r>
      <w:r w:rsidR="0010716A">
        <w:t xml:space="preserve">the obesity problem </w:t>
      </w:r>
      <w:r>
        <w:t xml:space="preserve">should be alleviated with more budget spent on tackling it. The drawback of this hypothesis is the lack of a reference level, </w:t>
      </w:r>
      <w:r w:rsidR="00F54A06">
        <w:t xml:space="preserve">which arises from </w:t>
      </w:r>
      <w:r w:rsidR="00CC7CAB">
        <w:t xml:space="preserve">an existing annual increase of obesity </w:t>
      </w:r>
      <w:r w:rsidR="001E087F">
        <w:t xml:space="preserve">density along with population expansion. </w:t>
      </w:r>
      <w:r w:rsidR="00F54A06">
        <w:t xml:space="preserve">The reference level of obesity density increase </w:t>
      </w:r>
      <w:r>
        <w:t xml:space="preserve">could be calculated from different budget spent in previous years and associated obesity densities. Consequently, the </w:t>
      </w:r>
    </w:p>
    <w:p w:rsidR="006E57AF" w:rsidRDefault="006E57AF"/>
    <w:p w:rsidR="0099535B" w:rsidRDefault="0099535B"/>
    <w:p w:rsidR="0099535B" w:rsidRDefault="0099535B">
      <w:r>
        <w:t>Another approach to examine the criteria of allocating funding is to consider the relationship of total budget with population and number of obesity cases respectively.</w:t>
      </w:r>
    </w:p>
    <w:p w:rsidR="006510E1" w:rsidRDefault="006510E1"/>
    <w:p w:rsidR="006510E1" w:rsidRDefault="006510E1"/>
    <w:p w:rsidR="006510E1" w:rsidRDefault="006510E1" w:rsidP="006510E1">
      <w:pPr>
        <w:pStyle w:val="a3"/>
        <w:ind w:left="360" w:firstLineChars="0" w:firstLine="0"/>
        <w:rPr>
          <w:rFonts w:hint="eastAsia"/>
        </w:rPr>
      </w:pPr>
      <w:r>
        <w:t xml:space="preserve">In this approach, the decision of outliers </w:t>
      </w:r>
      <w:proofErr w:type="gramStart"/>
      <w:r>
        <w:t>are</w:t>
      </w:r>
      <w:proofErr w:type="gramEnd"/>
      <w:r>
        <w:t xml:space="preserve"> entirely in the </w:t>
      </w:r>
    </w:p>
    <w:p w:rsidR="006510E1" w:rsidRPr="006510E1" w:rsidRDefault="006510E1">
      <w:pPr>
        <w:rPr>
          <w:rFonts w:hint="eastAsia"/>
        </w:rPr>
      </w:pPr>
    </w:p>
    <w:p w:rsidR="007B7EB0" w:rsidRPr="008C1BC0" w:rsidRDefault="007B7EB0">
      <w:pPr>
        <w:widowControl/>
        <w:jc w:val="left"/>
      </w:pPr>
      <w:r w:rsidRPr="008C1BC0">
        <w:br w:type="page"/>
      </w:r>
    </w:p>
    <w:p w:rsidR="007B7EB0" w:rsidRDefault="007B7EB0">
      <w:r w:rsidRPr="008C1BC0">
        <w:lastRenderedPageBreak/>
        <w:t>Bib</w:t>
      </w:r>
    </w:p>
    <w:p w:rsidR="00515220" w:rsidRDefault="00515220" w:rsidP="00515220">
      <w:pPr>
        <w:tabs>
          <w:tab w:val="left" w:pos="1474"/>
        </w:tabs>
        <w:rPr>
          <w:rFonts w:hint="eastAsia"/>
        </w:rPr>
      </w:pPr>
    </w:p>
    <w:p w:rsidR="007B7EB0" w:rsidRPr="00515220" w:rsidRDefault="007B7EB0"/>
    <w:p w:rsidR="007D31F2" w:rsidRPr="007D31F2" w:rsidRDefault="00515220" w:rsidP="007D31F2">
      <w:pPr>
        <w:pStyle w:val="Bibliography"/>
        <w:rPr>
          <w:rFonts w:ascii="DengXian" w:eastAsia="DengXian" w:cs="Times New Roman"/>
          <w:kern w:val="0"/>
        </w:rPr>
      </w:pPr>
      <w:r>
        <w:fldChar w:fldCharType="begin"/>
      </w:r>
      <w:r>
        <w:instrText xml:space="preserve"> ADDIN ZOTERO_BIBL {"uncited":[["http://zotero.org/users/local/RSrdM2B3/items/K4QSNQGL"]],"omitted":[],"custom":[]} CSL_BIBLIOGRAPHY </w:instrText>
      </w:r>
      <w:r>
        <w:fldChar w:fldCharType="separate"/>
      </w:r>
      <w:proofErr w:type="spellStart"/>
      <w:r w:rsidR="007D31F2" w:rsidRPr="007D31F2">
        <w:rPr>
          <w:rFonts w:ascii="DengXian" w:eastAsia="DengXian" w:cs="Times New Roman"/>
          <w:kern w:val="0"/>
        </w:rPr>
        <w:t>Fischler</w:t>
      </w:r>
      <w:proofErr w:type="spellEnd"/>
      <w:r w:rsidR="007D31F2" w:rsidRPr="007D31F2">
        <w:rPr>
          <w:rFonts w:ascii="DengXian" w:eastAsia="DengXian" w:cs="Times New Roman"/>
          <w:kern w:val="0"/>
        </w:rPr>
        <w:t xml:space="preserve">, M. A. and </w:t>
      </w:r>
      <w:proofErr w:type="spellStart"/>
      <w:r w:rsidR="007D31F2" w:rsidRPr="007D31F2">
        <w:rPr>
          <w:rFonts w:ascii="DengXian" w:eastAsia="DengXian" w:cs="Times New Roman"/>
          <w:kern w:val="0"/>
        </w:rPr>
        <w:t>Bolles</w:t>
      </w:r>
      <w:proofErr w:type="spellEnd"/>
      <w:r w:rsidR="007D31F2" w:rsidRPr="007D31F2">
        <w:rPr>
          <w:rFonts w:ascii="DengXian" w:eastAsia="DengXian" w:cs="Times New Roman"/>
          <w:kern w:val="0"/>
        </w:rPr>
        <w:t xml:space="preserve">, R. C. (1981). ‘Random sample consensus: a paradigm for model fitting with applications to image analysis and automated cartography’. </w:t>
      </w:r>
      <w:r w:rsidR="007D31F2" w:rsidRPr="007D31F2">
        <w:rPr>
          <w:rFonts w:ascii="DengXian" w:eastAsia="DengXian" w:cs="Times New Roman"/>
          <w:i/>
          <w:iCs/>
          <w:kern w:val="0"/>
        </w:rPr>
        <w:t>Communications of the ACM</w:t>
      </w:r>
      <w:r w:rsidR="007D31F2" w:rsidRPr="007D31F2">
        <w:rPr>
          <w:rFonts w:ascii="DengXian" w:eastAsia="DengXian" w:cs="Times New Roman"/>
          <w:kern w:val="0"/>
        </w:rPr>
        <w:t xml:space="preserve">, 24 (6), pp. 381–395. </w:t>
      </w:r>
      <w:proofErr w:type="spellStart"/>
      <w:r w:rsidR="007D31F2" w:rsidRPr="007D31F2">
        <w:rPr>
          <w:rFonts w:ascii="DengXian" w:eastAsia="DengXian" w:cs="Times New Roman"/>
          <w:kern w:val="0"/>
        </w:rPr>
        <w:t>doi</w:t>
      </w:r>
      <w:proofErr w:type="spellEnd"/>
      <w:r w:rsidR="007D31F2" w:rsidRPr="007D31F2">
        <w:rPr>
          <w:rFonts w:ascii="DengXian" w:eastAsia="DengXian" w:cs="Times New Roman"/>
          <w:kern w:val="0"/>
        </w:rPr>
        <w:t>: 10.1145/358669.358692.</w:t>
      </w:r>
    </w:p>
    <w:p w:rsidR="007D31F2" w:rsidRPr="007D31F2" w:rsidRDefault="007D31F2" w:rsidP="007D31F2">
      <w:pPr>
        <w:pStyle w:val="Bibliography"/>
        <w:rPr>
          <w:rFonts w:ascii="DengXian" w:eastAsia="DengXian" w:cs="Times New Roman"/>
          <w:kern w:val="0"/>
        </w:rPr>
      </w:pPr>
      <w:r w:rsidRPr="007D31F2">
        <w:rPr>
          <w:rFonts w:ascii="DengXian" w:eastAsia="DengXian" w:cs="Times New Roman"/>
          <w:kern w:val="0"/>
        </w:rPr>
        <w:t xml:space="preserve">NHS. (2018). </w:t>
      </w:r>
      <w:r w:rsidRPr="007D31F2">
        <w:rPr>
          <w:rFonts w:ascii="DengXian" w:eastAsia="DengXian" w:cs="Times New Roman"/>
          <w:i/>
          <w:iCs/>
          <w:kern w:val="0"/>
        </w:rPr>
        <w:t>National Child Measurement Programme, England 2018/19 School Year.</w:t>
      </w:r>
      <w:r w:rsidRPr="007D31F2">
        <w:rPr>
          <w:rFonts w:ascii="DengXian" w:eastAsia="DengXian" w:cs="Times New Roman"/>
          <w:kern w:val="0"/>
        </w:rPr>
        <w:t xml:space="preserve"> Available at: https://digital.nhs.uk/data-and-information/publications/statistical/national-child-measurement-programme/2018-19-school-year.</w:t>
      </w:r>
    </w:p>
    <w:p w:rsidR="007D31F2" w:rsidRPr="007D31F2" w:rsidRDefault="007D31F2" w:rsidP="007D31F2">
      <w:pPr>
        <w:pStyle w:val="Bibliography"/>
        <w:rPr>
          <w:rFonts w:ascii="DengXian" w:eastAsia="DengXian" w:cs="Times New Roman"/>
          <w:kern w:val="0"/>
        </w:rPr>
      </w:pPr>
      <w:proofErr w:type="spellStart"/>
      <w:r w:rsidRPr="007D31F2">
        <w:rPr>
          <w:rFonts w:ascii="DengXian" w:eastAsia="DengXian" w:cs="Times New Roman"/>
          <w:kern w:val="0"/>
        </w:rPr>
        <w:t>Pedregosa</w:t>
      </w:r>
      <w:proofErr w:type="spellEnd"/>
      <w:r w:rsidRPr="007D31F2">
        <w:rPr>
          <w:rFonts w:ascii="DengXian" w:eastAsia="DengXian" w:cs="Times New Roman"/>
          <w:kern w:val="0"/>
        </w:rPr>
        <w:t xml:space="preserve">, F., </w:t>
      </w:r>
      <w:proofErr w:type="spellStart"/>
      <w:r w:rsidRPr="007D31F2">
        <w:rPr>
          <w:rFonts w:ascii="DengXian" w:eastAsia="DengXian" w:cs="Times New Roman"/>
          <w:kern w:val="0"/>
        </w:rPr>
        <w:t>Varoquaux</w:t>
      </w:r>
      <w:proofErr w:type="spellEnd"/>
      <w:r w:rsidRPr="007D31F2">
        <w:rPr>
          <w:rFonts w:ascii="DengXian" w:eastAsia="DengXian" w:cs="Times New Roman"/>
          <w:kern w:val="0"/>
        </w:rPr>
        <w:t xml:space="preserve">, G., </w:t>
      </w:r>
      <w:proofErr w:type="spellStart"/>
      <w:r w:rsidRPr="007D31F2">
        <w:rPr>
          <w:rFonts w:ascii="DengXian" w:eastAsia="DengXian" w:cs="Times New Roman"/>
          <w:kern w:val="0"/>
        </w:rPr>
        <w:t>Gramfort</w:t>
      </w:r>
      <w:proofErr w:type="spellEnd"/>
      <w:r w:rsidRPr="007D31F2">
        <w:rPr>
          <w:rFonts w:ascii="DengXian" w:eastAsia="DengXian" w:cs="Times New Roman"/>
          <w:kern w:val="0"/>
        </w:rPr>
        <w:t xml:space="preserve">, A. and Michel, V. (2011). ‘Scikit-learn: Machine Learning in Python’. </w:t>
      </w:r>
      <w:r w:rsidRPr="007D31F2">
        <w:rPr>
          <w:rFonts w:ascii="DengXian" w:eastAsia="DengXian" w:cs="Times New Roman"/>
          <w:i/>
          <w:iCs/>
          <w:kern w:val="0"/>
        </w:rPr>
        <w:t>Journal of Machine Learning Research</w:t>
      </w:r>
      <w:r w:rsidRPr="007D31F2">
        <w:rPr>
          <w:rFonts w:ascii="DengXian" w:eastAsia="DengXian" w:cs="Times New Roman"/>
          <w:kern w:val="0"/>
        </w:rPr>
        <w:t>, (12), pp. 2825–2830.</w:t>
      </w:r>
    </w:p>
    <w:p w:rsidR="00614A6B" w:rsidRDefault="00515220">
      <w:pPr>
        <w:rPr>
          <w:rFonts w:hint="eastAsia"/>
        </w:rPr>
      </w:pPr>
      <w:r>
        <w:fldChar w:fldCharType="end"/>
      </w:r>
    </w:p>
    <w:p w:rsidR="001F164B" w:rsidRPr="001F164B" w:rsidRDefault="001F164B" w:rsidP="001F164B">
      <w:pPr>
        <w:widowControl/>
        <w:jc w:val="left"/>
        <w:rPr>
          <w:rFonts w:ascii="宋体" w:eastAsia="宋体" w:hAnsi="宋体" w:cs="宋体"/>
          <w:kern w:val="0"/>
          <w:sz w:val="24"/>
          <w:lang w:val="en-US"/>
        </w:rPr>
      </w:pPr>
    </w:p>
    <w:sectPr w:rsidR="001F164B" w:rsidRPr="001F164B" w:rsidSect="00285C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49B5"/>
    <w:multiLevelType w:val="hybridMultilevel"/>
    <w:tmpl w:val="BA5E49D4"/>
    <w:lvl w:ilvl="0" w:tplc="CC42A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65DC7"/>
    <w:multiLevelType w:val="hybridMultilevel"/>
    <w:tmpl w:val="9BE41A74"/>
    <w:lvl w:ilvl="0" w:tplc="042092D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7672B"/>
    <w:multiLevelType w:val="hybridMultilevel"/>
    <w:tmpl w:val="920A24B2"/>
    <w:lvl w:ilvl="0" w:tplc="D52C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0"/>
    <w:rsid w:val="00051566"/>
    <w:rsid w:val="000A04BD"/>
    <w:rsid w:val="000C4893"/>
    <w:rsid w:val="0010716A"/>
    <w:rsid w:val="00112737"/>
    <w:rsid w:val="00126924"/>
    <w:rsid w:val="00153183"/>
    <w:rsid w:val="00162BE4"/>
    <w:rsid w:val="001D4821"/>
    <w:rsid w:val="001D720D"/>
    <w:rsid w:val="001D730D"/>
    <w:rsid w:val="001E087F"/>
    <w:rsid w:val="001F164B"/>
    <w:rsid w:val="00255B40"/>
    <w:rsid w:val="00285C9B"/>
    <w:rsid w:val="00285DCE"/>
    <w:rsid w:val="0029469A"/>
    <w:rsid w:val="00296D56"/>
    <w:rsid w:val="002B3021"/>
    <w:rsid w:val="002C0DF5"/>
    <w:rsid w:val="00303982"/>
    <w:rsid w:val="00307E2B"/>
    <w:rsid w:val="00314BF1"/>
    <w:rsid w:val="00344215"/>
    <w:rsid w:val="00353AC0"/>
    <w:rsid w:val="00353F15"/>
    <w:rsid w:val="0037775A"/>
    <w:rsid w:val="003B34B2"/>
    <w:rsid w:val="003D046C"/>
    <w:rsid w:val="003E0276"/>
    <w:rsid w:val="00513933"/>
    <w:rsid w:val="00515220"/>
    <w:rsid w:val="00517C4E"/>
    <w:rsid w:val="005340C5"/>
    <w:rsid w:val="00551F52"/>
    <w:rsid w:val="005646BC"/>
    <w:rsid w:val="00614A6B"/>
    <w:rsid w:val="006510E1"/>
    <w:rsid w:val="00655503"/>
    <w:rsid w:val="00676E0E"/>
    <w:rsid w:val="00696844"/>
    <w:rsid w:val="006D3775"/>
    <w:rsid w:val="006E57AF"/>
    <w:rsid w:val="006F1367"/>
    <w:rsid w:val="007219BC"/>
    <w:rsid w:val="007524AE"/>
    <w:rsid w:val="007569B9"/>
    <w:rsid w:val="007B7EB0"/>
    <w:rsid w:val="007D31F2"/>
    <w:rsid w:val="008966E8"/>
    <w:rsid w:val="008C1BC0"/>
    <w:rsid w:val="008C5075"/>
    <w:rsid w:val="008D406A"/>
    <w:rsid w:val="008E7FDC"/>
    <w:rsid w:val="008F0BC2"/>
    <w:rsid w:val="00924ED0"/>
    <w:rsid w:val="00952309"/>
    <w:rsid w:val="0095715B"/>
    <w:rsid w:val="0099535B"/>
    <w:rsid w:val="009A479B"/>
    <w:rsid w:val="009B307A"/>
    <w:rsid w:val="009B3494"/>
    <w:rsid w:val="009D0A73"/>
    <w:rsid w:val="009D12BC"/>
    <w:rsid w:val="00A068D9"/>
    <w:rsid w:val="00A21512"/>
    <w:rsid w:val="00A46517"/>
    <w:rsid w:val="00A94A4C"/>
    <w:rsid w:val="00AB2B90"/>
    <w:rsid w:val="00AF382E"/>
    <w:rsid w:val="00B27384"/>
    <w:rsid w:val="00B41E64"/>
    <w:rsid w:val="00B44BD2"/>
    <w:rsid w:val="00B51CD2"/>
    <w:rsid w:val="00C02379"/>
    <w:rsid w:val="00C15DE6"/>
    <w:rsid w:val="00C1622E"/>
    <w:rsid w:val="00C62095"/>
    <w:rsid w:val="00CC0B9C"/>
    <w:rsid w:val="00CC2163"/>
    <w:rsid w:val="00CC7CAB"/>
    <w:rsid w:val="00CD7CBF"/>
    <w:rsid w:val="00D264FA"/>
    <w:rsid w:val="00D977CD"/>
    <w:rsid w:val="00DC4498"/>
    <w:rsid w:val="00DC5A65"/>
    <w:rsid w:val="00DF3D28"/>
    <w:rsid w:val="00E52E2C"/>
    <w:rsid w:val="00E85C9D"/>
    <w:rsid w:val="00E97F56"/>
    <w:rsid w:val="00EA3AC0"/>
    <w:rsid w:val="00ED417B"/>
    <w:rsid w:val="00EF6F57"/>
    <w:rsid w:val="00F1306E"/>
    <w:rsid w:val="00F13B07"/>
    <w:rsid w:val="00F153BF"/>
    <w:rsid w:val="00F16803"/>
    <w:rsid w:val="00F54A06"/>
    <w:rsid w:val="00F66698"/>
    <w:rsid w:val="00FB3FE8"/>
    <w:rsid w:val="00FC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F5B2A"/>
  <w15:chartTrackingRefBased/>
  <w15:docId w15:val="{14B5A295-3718-3D40-AC7A-2C6134C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1BC0"/>
  </w:style>
  <w:style w:type="paragraph" w:styleId="a3">
    <w:name w:val="List Paragraph"/>
    <w:basedOn w:val="a"/>
    <w:uiPriority w:val="34"/>
    <w:qFormat/>
    <w:rsid w:val="00112737"/>
    <w:pPr>
      <w:ind w:firstLineChars="200" w:firstLine="420"/>
    </w:pPr>
  </w:style>
  <w:style w:type="table" w:styleId="a4">
    <w:name w:val="Table Grid"/>
    <w:basedOn w:val="a1"/>
    <w:uiPriority w:val="39"/>
    <w:rsid w:val="009B3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66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lang w:val="en-US"/>
    </w:rPr>
  </w:style>
  <w:style w:type="character" w:customStyle="1" w:styleId="HTML0">
    <w:name w:val="HTML 预设格式 字符"/>
    <w:basedOn w:val="a0"/>
    <w:link w:val="HTML"/>
    <w:uiPriority w:val="99"/>
    <w:semiHidden/>
    <w:rsid w:val="00F66698"/>
    <w:rPr>
      <w:rFonts w:ascii="宋体" w:eastAsia="宋体" w:hAnsi="宋体" w:cs="宋体"/>
      <w:kern w:val="0"/>
      <w:sz w:val="24"/>
    </w:rPr>
  </w:style>
  <w:style w:type="character" w:styleId="a5">
    <w:name w:val="Hyperlink"/>
    <w:basedOn w:val="a0"/>
    <w:uiPriority w:val="99"/>
    <w:semiHidden/>
    <w:unhideWhenUsed/>
    <w:rsid w:val="00255B40"/>
    <w:rPr>
      <w:color w:val="0000FF"/>
      <w:u w:val="single"/>
    </w:rPr>
  </w:style>
  <w:style w:type="character" w:styleId="a6">
    <w:name w:val="Emphasis"/>
    <w:basedOn w:val="a0"/>
    <w:uiPriority w:val="20"/>
    <w:qFormat/>
    <w:rsid w:val="001F164B"/>
    <w:rPr>
      <w:i/>
      <w:iCs/>
    </w:rPr>
  </w:style>
  <w:style w:type="paragraph" w:customStyle="1" w:styleId="Bibliography">
    <w:name w:val="Bibliography"/>
    <w:basedOn w:val="a"/>
    <w:link w:val="Bibliography0"/>
    <w:rsid w:val="00614A6B"/>
    <w:pPr>
      <w:spacing w:after="240"/>
    </w:pPr>
  </w:style>
  <w:style w:type="character" w:customStyle="1" w:styleId="Bibliography0">
    <w:name w:val="Bibliography 字符"/>
    <w:basedOn w:val="a0"/>
    <w:link w:val="Bibliography"/>
    <w:rsid w:val="00614A6B"/>
    <w:rPr>
      <w:lang w:val="en-GB"/>
    </w:rPr>
  </w:style>
  <w:style w:type="paragraph" w:styleId="a7">
    <w:name w:val="Normal (Web)"/>
    <w:basedOn w:val="a"/>
    <w:uiPriority w:val="99"/>
    <w:semiHidden/>
    <w:unhideWhenUsed/>
    <w:rsid w:val="00307E2B"/>
    <w:pPr>
      <w:widowControl/>
      <w:spacing w:before="100" w:beforeAutospacing="1" w:after="100" w:afterAutospacing="1"/>
      <w:jc w:val="left"/>
    </w:pPr>
    <w:rPr>
      <w:rFonts w:ascii="宋体" w:eastAsia="宋体" w:hAnsi="宋体" w:cs="宋体"/>
      <w:kern w:val="0"/>
      <w:sz w:val="24"/>
      <w:lang w:val="en-US"/>
    </w:rPr>
  </w:style>
  <w:style w:type="character" w:customStyle="1" w:styleId="pre">
    <w:name w:val="pre"/>
    <w:basedOn w:val="a0"/>
    <w:rsid w:val="0030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0923">
      <w:bodyDiv w:val="1"/>
      <w:marLeft w:val="0"/>
      <w:marRight w:val="0"/>
      <w:marTop w:val="0"/>
      <w:marBottom w:val="0"/>
      <w:divBdr>
        <w:top w:val="none" w:sz="0" w:space="0" w:color="auto"/>
        <w:left w:val="none" w:sz="0" w:space="0" w:color="auto"/>
        <w:bottom w:val="none" w:sz="0" w:space="0" w:color="auto"/>
        <w:right w:val="none" w:sz="0" w:space="0" w:color="auto"/>
      </w:divBdr>
    </w:div>
    <w:div w:id="156699476">
      <w:bodyDiv w:val="1"/>
      <w:marLeft w:val="0"/>
      <w:marRight w:val="0"/>
      <w:marTop w:val="0"/>
      <w:marBottom w:val="0"/>
      <w:divBdr>
        <w:top w:val="none" w:sz="0" w:space="0" w:color="auto"/>
        <w:left w:val="none" w:sz="0" w:space="0" w:color="auto"/>
        <w:bottom w:val="none" w:sz="0" w:space="0" w:color="auto"/>
        <w:right w:val="none" w:sz="0" w:space="0" w:color="auto"/>
      </w:divBdr>
    </w:div>
    <w:div w:id="198977025">
      <w:bodyDiv w:val="1"/>
      <w:marLeft w:val="0"/>
      <w:marRight w:val="0"/>
      <w:marTop w:val="0"/>
      <w:marBottom w:val="0"/>
      <w:divBdr>
        <w:top w:val="none" w:sz="0" w:space="0" w:color="auto"/>
        <w:left w:val="none" w:sz="0" w:space="0" w:color="auto"/>
        <w:bottom w:val="none" w:sz="0" w:space="0" w:color="auto"/>
        <w:right w:val="none" w:sz="0" w:space="0" w:color="auto"/>
      </w:divBdr>
    </w:div>
    <w:div w:id="211775910">
      <w:bodyDiv w:val="1"/>
      <w:marLeft w:val="0"/>
      <w:marRight w:val="0"/>
      <w:marTop w:val="0"/>
      <w:marBottom w:val="0"/>
      <w:divBdr>
        <w:top w:val="none" w:sz="0" w:space="0" w:color="auto"/>
        <w:left w:val="none" w:sz="0" w:space="0" w:color="auto"/>
        <w:bottom w:val="none" w:sz="0" w:space="0" w:color="auto"/>
        <w:right w:val="none" w:sz="0" w:space="0" w:color="auto"/>
      </w:divBdr>
    </w:div>
    <w:div w:id="312564068">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73775867">
      <w:bodyDiv w:val="1"/>
      <w:marLeft w:val="0"/>
      <w:marRight w:val="0"/>
      <w:marTop w:val="0"/>
      <w:marBottom w:val="0"/>
      <w:divBdr>
        <w:top w:val="none" w:sz="0" w:space="0" w:color="auto"/>
        <w:left w:val="none" w:sz="0" w:space="0" w:color="auto"/>
        <w:bottom w:val="none" w:sz="0" w:space="0" w:color="auto"/>
        <w:right w:val="none" w:sz="0" w:space="0" w:color="auto"/>
      </w:divBdr>
    </w:div>
    <w:div w:id="533735262">
      <w:bodyDiv w:val="1"/>
      <w:marLeft w:val="0"/>
      <w:marRight w:val="0"/>
      <w:marTop w:val="0"/>
      <w:marBottom w:val="0"/>
      <w:divBdr>
        <w:top w:val="none" w:sz="0" w:space="0" w:color="auto"/>
        <w:left w:val="none" w:sz="0" w:space="0" w:color="auto"/>
        <w:bottom w:val="none" w:sz="0" w:space="0" w:color="auto"/>
        <w:right w:val="none" w:sz="0" w:space="0" w:color="auto"/>
      </w:divBdr>
    </w:div>
    <w:div w:id="711228886">
      <w:bodyDiv w:val="1"/>
      <w:marLeft w:val="0"/>
      <w:marRight w:val="0"/>
      <w:marTop w:val="0"/>
      <w:marBottom w:val="0"/>
      <w:divBdr>
        <w:top w:val="none" w:sz="0" w:space="0" w:color="auto"/>
        <w:left w:val="none" w:sz="0" w:space="0" w:color="auto"/>
        <w:bottom w:val="none" w:sz="0" w:space="0" w:color="auto"/>
        <w:right w:val="none" w:sz="0" w:space="0" w:color="auto"/>
      </w:divBdr>
    </w:div>
    <w:div w:id="889612787">
      <w:bodyDiv w:val="1"/>
      <w:marLeft w:val="0"/>
      <w:marRight w:val="0"/>
      <w:marTop w:val="0"/>
      <w:marBottom w:val="0"/>
      <w:divBdr>
        <w:top w:val="none" w:sz="0" w:space="0" w:color="auto"/>
        <w:left w:val="none" w:sz="0" w:space="0" w:color="auto"/>
        <w:bottom w:val="none" w:sz="0" w:space="0" w:color="auto"/>
        <w:right w:val="none" w:sz="0" w:space="0" w:color="auto"/>
      </w:divBdr>
    </w:div>
    <w:div w:id="912011418">
      <w:bodyDiv w:val="1"/>
      <w:marLeft w:val="0"/>
      <w:marRight w:val="0"/>
      <w:marTop w:val="0"/>
      <w:marBottom w:val="0"/>
      <w:divBdr>
        <w:top w:val="none" w:sz="0" w:space="0" w:color="auto"/>
        <w:left w:val="none" w:sz="0" w:space="0" w:color="auto"/>
        <w:bottom w:val="none" w:sz="0" w:space="0" w:color="auto"/>
        <w:right w:val="none" w:sz="0" w:space="0" w:color="auto"/>
      </w:divBdr>
    </w:div>
    <w:div w:id="981930210">
      <w:bodyDiv w:val="1"/>
      <w:marLeft w:val="0"/>
      <w:marRight w:val="0"/>
      <w:marTop w:val="0"/>
      <w:marBottom w:val="0"/>
      <w:divBdr>
        <w:top w:val="none" w:sz="0" w:space="0" w:color="auto"/>
        <w:left w:val="none" w:sz="0" w:space="0" w:color="auto"/>
        <w:bottom w:val="none" w:sz="0" w:space="0" w:color="auto"/>
        <w:right w:val="none" w:sz="0" w:space="0" w:color="auto"/>
      </w:divBdr>
    </w:div>
    <w:div w:id="1042048715">
      <w:bodyDiv w:val="1"/>
      <w:marLeft w:val="0"/>
      <w:marRight w:val="0"/>
      <w:marTop w:val="0"/>
      <w:marBottom w:val="0"/>
      <w:divBdr>
        <w:top w:val="none" w:sz="0" w:space="0" w:color="auto"/>
        <w:left w:val="none" w:sz="0" w:space="0" w:color="auto"/>
        <w:bottom w:val="none" w:sz="0" w:space="0" w:color="auto"/>
        <w:right w:val="none" w:sz="0" w:space="0" w:color="auto"/>
      </w:divBdr>
    </w:div>
    <w:div w:id="1071583480">
      <w:bodyDiv w:val="1"/>
      <w:marLeft w:val="0"/>
      <w:marRight w:val="0"/>
      <w:marTop w:val="0"/>
      <w:marBottom w:val="0"/>
      <w:divBdr>
        <w:top w:val="none" w:sz="0" w:space="0" w:color="auto"/>
        <w:left w:val="none" w:sz="0" w:space="0" w:color="auto"/>
        <w:bottom w:val="none" w:sz="0" w:space="0" w:color="auto"/>
        <w:right w:val="none" w:sz="0" w:space="0" w:color="auto"/>
      </w:divBdr>
      <w:divsChild>
        <w:div w:id="656613884">
          <w:marLeft w:val="0"/>
          <w:marRight w:val="0"/>
          <w:marTop w:val="0"/>
          <w:marBottom w:val="0"/>
          <w:divBdr>
            <w:top w:val="none" w:sz="0" w:space="0" w:color="auto"/>
            <w:left w:val="none" w:sz="0" w:space="0" w:color="auto"/>
            <w:bottom w:val="none" w:sz="0" w:space="0" w:color="auto"/>
            <w:right w:val="none" w:sz="0" w:space="0" w:color="auto"/>
          </w:divBdr>
          <w:divsChild>
            <w:div w:id="167328756">
              <w:marLeft w:val="0"/>
              <w:marRight w:val="0"/>
              <w:marTop w:val="0"/>
              <w:marBottom w:val="0"/>
              <w:divBdr>
                <w:top w:val="none" w:sz="0" w:space="0" w:color="auto"/>
                <w:left w:val="none" w:sz="0" w:space="0" w:color="auto"/>
                <w:bottom w:val="none" w:sz="0" w:space="0" w:color="auto"/>
                <w:right w:val="none" w:sz="0" w:space="0" w:color="auto"/>
              </w:divBdr>
              <w:divsChild>
                <w:div w:id="1345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5748">
      <w:bodyDiv w:val="1"/>
      <w:marLeft w:val="0"/>
      <w:marRight w:val="0"/>
      <w:marTop w:val="0"/>
      <w:marBottom w:val="0"/>
      <w:divBdr>
        <w:top w:val="none" w:sz="0" w:space="0" w:color="auto"/>
        <w:left w:val="none" w:sz="0" w:space="0" w:color="auto"/>
        <w:bottom w:val="none" w:sz="0" w:space="0" w:color="auto"/>
        <w:right w:val="none" w:sz="0" w:space="0" w:color="auto"/>
      </w:divBdr>
    </w:div>
    <w:div w:id="1446119907">
      <w:bodyDiv w:val="1"/>
      <w:marLeft w:val="0"/>
      <w:marRight w:val="0"/>
      <w:marTop w:val="0"/>
      <w:marBottom w:val="0"/>
      <w:divBdr>
        <w:top w:val="none" w:sz="0" w:space="0" w:color="auto"/>
        <w:left w:val="none" w:sz="0" w:space="0" w:color="auto"/>
        <w:bottom w:val="none" w:sz="0" w:space="0" w:color="auto"/>
        <w:right w:val="none" w:sz="0" w:space="0" w:color="auto"/>
      </w:divBdr>
    </w:div>
    <w:div w:id="1687246980">
      <w:bodyDiv w:val="1"/>
      <w:marLeft w:val="0"/>
      <w:marRight w:val="0"/>
      <w:marTop w:val="0"/>
      <w:marBottom w:val="0"/>
      <w:divBdr>
        <w:top w:val="none" w:sz="0" w:space="0" w:color="auto"/>
        <w:left w:val="none" w:sz="0" w:space="0" w:color="auto"/>
        <w:bottom w:val="none" w:sz="0" w:space="0" w:color="auto"/>
        <w:right w:val="none" w:sz="0" w:space="0" w:color="auto"/>
      </w:divBdr>
    </w:div>
    <w:div w:id="1942881821">
      <w:bodyDiv w:val="1"/>
      <w:marLeft w:val="0"/>
      <w:marRight w:val="0"/>
      <w:marTop w:val="0"/>
      <w:marBottom w:val="0"/>
      <w:divBdr>
        <w:top w:val="none" w:sz="0" w:space="0" w:color="auto"/>
        <w:left w:val="none" w:sz="0" w:space="0" w:color="auto"/>
        <w:bottom w:val="none" w:sz="0" w:space="0" w:color="auto"/>
        <w:right w:val="none" w:sz="0" w:space="0" w:color="auto"/>
      </w:divBdr>
    </w:div>
    <w:div w:id="1960989786">
      <w:bodyDiv w:val="1"/>
      <w:marLeft w:val="0"/>
      <w:marRight w:val="0"/>
      <w:marTop w:val="0"/>
      <w:marBottom w:val="0"/>
      <w:divBdr>
        <w:top w:val="none" w:sz="0" w:space="0" w:color="auto"/>
        <w:left w:val="none" w:sz="0" w:space="0" w:color="auto"/>
        <w:bottom w:val="none" w:sz="0" w:space="0" w:color="auto"/>
        <w:right w:val="none" w:sz="0" w:space="0" w:color="auto"/>
      </w:divBdr>
    </w:div>
    <w:div w:id="20119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Yichen</dc:creator>
  <cp:keywords/>
  <dc:description/>
  <cp:lastModifiedBy>Tian, Yichen</cp:lastModifiedBy>
  <cp:revision>75</cp:revision>
  <dcterms:created xsi:type="dcterms:W3CDTF">2020-11-13T12:26:00Z</dcterms:created>
  <dcterms:modified xsi:type="dcterms:W3CDTF">2020-11-14T15:10:00Z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id="9xg2tisL"/&gt;&lt;style id="http://www.zotero.org/styles/ucl-institute-of-education-harvard"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