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953C" w14:textId="1D858768" w:rsidR="00473AA9" w:rsidRPr="00473AA9" w:rsidRDefault="003B65D5" w:rsidP="006E68DF">
      <w:pPr>
        <w:pStyle w:val="af1"/>
        <w:jc w:val="both"/>
        <w:rPr>
          <w:rFonts w:ascii="Times New Roman" w:eastAsia="楷体" w:hAnsi="Times New Roman" w:cs="Times New Roman"/>
          <w:sz w:val="36"/>
          <w:szCs w:val="36"/>
        </w:rPr>
      </w:pPr>
      <w:bookmarkStart w:id="0" w:name="引言"/>
      <w:bookmarkStart w:id="1" w:name="content"/>
      <w:bookmarkStart w:id="2" w:name="政策建议"/>
      <w:r w:rsidRPr="003B65D5">
        <w:rPr>
          <w:rFonts w:ascii="Times New Roman" w:eastAsia="楷体" w:hAnsi="Times New Roman" w:cs="Times New Roman" w:hint="eastAsia"/>
          <w:sz w:val="36"/>
          <w:szCs w:val="36"/>
        </w:rPr>
        <w:t>老龄化浪潮中的全球第一支柱养老金：从融资、资产配置到数字风控的治理范式转型</w:t>
      </w:r>
    </w:p>
    <w:p w14:paraId="1C7AA42A" w14:textId="26609E86" w:rsidR="008C1EF4" w:rsidRPr="006E68DF" w:rsidRDefault="008C1EF4" w:rsidP="00195763">
      <w:pPr>
        <w:pStyle w:val="af1"/>
        <w:numPr>
          <w:ilvl w:val="0"/>
          <w:numId w:val="6"/>
        </w:numPr>
        <w:jc w:val="both"/>
        <w:rPr>
          <w:rFonts w:ascii="Times New Roman" w:eastAsia="楷体" w:hAnsi="Times New Roman" w:cs="Times New Roman"/>
          <w:b/>
          <w:bCs/>
          <w:sz w:val="28"/>
          <w:szCs w:val="28"/>
        </w:rPr>
      </w:pPr>
      <w:r w:rsidRPr="006E68DF">
        <w:rPr>
          <w:rFonts w:ascii="Times New Roman" w:eastAsia="楷体" w:hAnsi="Times New Roman" w:cs="Times New Roman"/>
          <w:b/>
          <w:bCs/>
          <w:sz w:val="28"/>
          <w:szCs w:val="28"/>
        </w:rPr>
        <w:t>引言</w:t>
      </w:r>
    </w:p>
    <w:p w14:paraId="28D17833" w14:textId="083D047C" w:rsidR="00626E73" w:rsidRPr="007D4673" w:rsidRDefault="00626E73" w:rsidP="00626E73">
      <w:pPr>
        <w:pStyle w:val="af1"/>
        <w:jc w:val="both"/>
        <w:rPr>
          <w:rFonts w:ascii="Times New Roman" w:eastAsia="楷体" w:hAnsi="Times New Roman" w:cs="Times New Roman"/>
        </w:rPr>
      </w:pPr>
      <w:bookmarkStart w:id="3" w:name="OLE_LINK3"/>
      <w:r w:rsidRPr="00626E73">
        <w:rPr>
          <w:rFonts w:ascii="Times New Roman" w:eastAsia="楷体" w:hAnsi="Times New Roman" w:cs="Times New Roman" w:hint="eastAsia"/>
        </w:rPr>
        <w:t>全球人口老龄化趋势的加剧，使养老金资产的有效投资和风险管理成为金融领域的重要课题。据经合组织（</w:t>
      </w:r>
      <w:r w:rsidRPr="00626E73">
        <w:rPr>
          <w:rFonts w:ascii="Times New Roman" w:eastAsia="楷体" w:hAnsi="Times New Roman" w:cs="Times New Roman" w:hint="eastAsia"/>
        </w:rPr>
        <w:t>OECD</w:t>
      </w:r>
      <w:r w:rsidRPr="00626E73">
        <w:rPr>
          <w:rFonts w:ascii="Times New Roman" w:eastAsia="楷体" w:hAnsi="Times New Roman" w:cs="Times New Roman" w:hint="eastAsia"/>
        </w:rPr>
        <w:t>）最新统计，全球养老金市场规模持续扩大，但同时也面临着前所未有的支付压力</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_Ref65267581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。国际货币基金组织（</w:t>
      </w:r>
      <w:r w:rsidRPr="00626E73">
        <w:rPr>
          <w:rFonts w:ascii="Times New Roman" w:eastAsia="楷体" w:hAnsi="Times New Roman" w:cs="Times New Roman" w:hint="eastAsia"/>
        </w:rPr>
        <w:t>IMF</w:t>
      </w:r>
      <w:r w:rsidRPr="00626E73">
        <w:rPr>
          <w:rFonts w:ascii="Times New Roman" w:eastAsia="楷体" w:hAnsi="Times New Roman" w:cs="Times New Roman" w:hint="eastAsia"/>
        </w:rPr>
        <w:t>）的研究指出，人口老龄化对全球公共政策和财政可持续性构成了深远挑战，迫使各国重新审视养老金的融资模式与支出结构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_Ref39497936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w:t>
      </w:r>
      <w:r w:rsidR="00BB09B2" w:rsidRPr="00BB09B2">
        <w:rPr>
          <w:rFonts w:ascii="Times New Roman" w:eastAsia="楷体" w:hAnsi="Times New Roman" w:cs="Times New Roman" w:hint="eastAsia"/>
        </w:rPr>
        <w:t>根据</w:t>
      </w:r>
      <w:r w:rsidR="00BB09B2" w:rsidRPr="00BB09B2">
        <w:rPr>
          <w:rFonts w:ascii="Times New Roman" w:eastAsia="楷体" w:hAnsi="Times New Roman" w:cs="Times New Roman" w:hint="eastAsia"/>
        </w:rPr>
        <w:t xml:space="preserve"> Mercer </w:t>
      </w:r>
      <w:r w:rsidR="00BB09B2" w:rsidRPr="00BB09B2">
        <w:rPr>
          <w:rFonts w:ascii="Times New Roman" w:eastAsia="楷体" w:hAnsi="Times New Roman" w:cs="Times New Roman" w:hint="eastAsia"/>
        </w:rPr>
        <w:t>与</w:t>
      </w:r>
      <w:r w:rsidR="00BB09B2" w:rsidRPr="00BB09B2">
        <w:rPr>
          <w:rFonts w:ascii="Times New Roman" w:eastAsia="楷体" w:hAnsi="Times New Roman" w:cs="Times New Roman" w:hint="eastAsia"/>
        </w:rPr>
        <w:t xml:space="preserve"> CFA Institute </w:t>
      </w:r>
      <w:r w:rsidR="00BB09B2" w:rsidRPr="00BB09B2">
        <w:rPr>
          <w:rFonts w:ascii="Times New Roman" w:eastAsia="楷体" w:hAnsi="Times New Roman" w:cs="Times New Roman" w:hint="eastAsia"/>
        </w:rPr>
        <w:t>发布的</w:t>
      </w:r>
      <w:r w:rsidR="00BB09B2" w:rsidRPr="00BB09B2">
        <w:rPr>
          <w:rFonts w:ascii="Times New Roman" w:eastAsia="楷体" w:hAnsi="Times New Roman" w:cs="Times New Roman" w:hint="eastAsia"/>
        </w:rPr>
        <w:t xml:space="preserve"> Global Pension Index 2025 </w:t>
      </w:r>
      <w:r w:rsidR="00BB09B2" w:rsidRPr="00BB09B2">
        <w:rPr>
          <w:rFonts w:ascii="Times New Roman" w:eastAsia="楷体" w:hAnsi="Times New Roman" w:cs="Times New Roman" w:hint="eastAsia"/>
        </w:rPr>
        <w:t>报告显示，全球养老金体系普遍面临老龄化压力、多支柱发展不均衡和财政可持续性挑战，中国在多支柱完善度方面仍显不足</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_Ref98990875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w:t>
      </w:r>
      <w:r w:rsidR="00AF33AC">
        <w:rPr>
          <w:rFonts w:ascii="Times New Roman" w:eastAsia="楷体" w:hAnsi="Times New Roman" w:cs="Times New Roman"/>
        </w:rPr>
        <w:fldChar w:fldCharType="end"/>
      </w:r>
      <w:r w:rsidR="00BB09B2" w:rsidRPr="00BB09B2">
        <w:rPr>
          <w:rFonts w:ascii="Times New Roman" w:eastAsia="楷体" w:hAnsi="Times New Roman" w:cs="Times New Roman" w:hint="eastAsia"/>
        </w:rPr>
        <w:t>。</w:t>
      </w:r>
      <w:r w:rsidRPr="00626E73">
        <w:rPr>
          <w:rFonts w:ascii="Times New Roman" w:eastAsia="楷体" w:hAnsi="Times New Roman" w:cs="Times New Roman" w:hint="eastAsia"/>
        </w:rPr>
        <w:t>在此背景下，如何通过合理的投资策略在控制风险的前提下实现养老金的保值增值，关系到养老体系的可持续性。为应对低利率环境和长寿风险，全球养老金的投资策略正经历从保守向多元化配置的根本性转变。研究显示，许多大型公共养老金计划正逐步提高权益类资产比重，并积极拓展私募股权、基础设施等另类投资渠道，以通过多元化配置获取长期超额回报</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_Ref78228426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_Ref44148755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。中国作为人口大国，养老制度的改革同样迫在眉睫。国务院于</w:t>
      </w:r>
      <w:r w:rsidRPr="00626E73">
        <w:rPr>
          <w:rFonts w:ascii="Times New Roman" w:eastAsia="楷体" w:hAnsi="Times New Roman" w:cs="Times New Roman" w:hint="eastAsia"/>
        </w:rPr>
        <w:t>2015</w:t>
      </w:r>
      <w:r w:rsidRPr="00626E73">
        <w:rPr>
          <w:rFonts w:ascii="Times New Roman" w:eastAsia="楷体" w:hAnsi="Times New Roman" w:cs="Times New Roman" w:hint="eastAsia"/>
        </w:rPr>
        <w:t>年颁布《基本养老保险基金投资管理办法》，标志着我国基本养老保险基金正式开启了市场化投资运营的新篇章</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_Ref82380617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[6]</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。然而，学术界普遍认为，当前我国养老金体系仍面临较为严峻的融资与制度挑战，需要适应人口结构变化进行深层次的战略重构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_Ref42587471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[7]</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_Ref43182206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[8]</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。近期智库报告也强调，应通过政策引导促进养老金“长钱长投”，在实现基金保值增值的同时服务实体经济</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_Ref65396553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[9]</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。因此，本文将围绕养老金管理的融资体系、投资策略、风险管理和数字化创新四个核心主题展开文献综述，梳理相关研究成果与实践经验，并在此基础上提出政策建议。</w:t>
      </w:r>
    </w:p>
    <w:bookmarkEnd w:id="3"/>
    <w:p w14:paraId="0A9174E3" w14:textId="01D0E9A1" w:rsidR="008C1EF4" w:rsidRPr="001D1D7D" w:rsidRDefault="008C1EF4" w:rsidP="00195763">
      <w:pPr>
        <w:pStyle w:val="af1"/>
        <w:numPr>
          <w:ilvl w:val="0"/>
          <w:numId w:val="6"/>
        </w:numPr>
        <w:jc w:val="both"/>
        <w:rPr>
          <w:rFonts w:ascii="Times New Roman" w:eastAsia="楷体" w:hAnsi="Times New Roman" w:cs="Times New Roman"/>
          <w:b/>
          <w:bCs/>
          <w:sz w:val="28"/>
          <w:szCs w:val="28"/>
        </w:rPr>
      </w:pPr>
      <w:r w:rsidRPr="001D1D7D">
        <w:rPr>
          <w:rFonts w:ascii="Times New Roman" w:eastAsia="楷体" w:hAnsi="Times New Roman" w:cs="Times New Roman" w:hint="eastAsia"/>
          <w:b/>
          <w:bCs/>
          <w:sz w:val="28"/>
          <w:szCs w:val="28"/>
        </w:rPr>
        <w:t>融</w:t>
      </w:r>
      <w:r w:rsidRPr="001D1D7D">
        <w:rPr>
          <w:rFonts w:ascii="Times New Roman" w:eastAsia="楷体" w:hAnsi="Times New Roman" w:cs="Times New Roman"/>
          <w:b/>
          <w:bCs/>
          <w:sz w:val="28"/>
          <w:szCs w:val="28"/>
        </w:rPr>
        <w:t>资：</w:t>
      </w:r>
      <w:r w:rsidR="00626E73" w:rsidRPr="001D1D7D">
        <w:rPr>
          <w:rFonts w:ascii="Times New Roman" w:eastAsia="楷体" w:hAnsi="Times New Roman" w:cs="Times New Roman"/>
          <w:b/>
          <w:bCs/>
          <w:sz w:val="28"/>
          <w:szCs w:val="28"/>
        </w:rPr>
        <w:t>第一支柱面临的结构性挑战与体系重构</w:t>
      </w:r>
    </w:p>
    <w:p w14:paraId="093DF14C" w14:textId="58439426" w:rsidR="008C1EF4" w:rsidRPr="007D4673" w:rsidRDefault="00626E73" w:rsidP="00195763">
      <w:pPr>
        <w:pStyle w:val="af1"/>
        <w:jc w:val="both"/>
        <w:rPr>
          <w:rFonts w:ascii="Times New Roman" w:eastAsia="楷体" w:hAnsi="Times New Roman" w:cs="Times New Roman"/>
        </w:rPr>
      </w:pPr>
      <w:r w:rsidRPr="00626E73">
        <w:rPr>
          <w:rFonts w:ascii="Times New Roman" w:eastAsia="楷体" w:hAnsi="Times New Roman" w:cs="Times New Roman" w:hint="eastAsia"/>
        </w:rPr>
        <w:t>养老金体系的融资（</w:t>
      </w:r>
      <w:r w:rsidRPr="00626E73">
        <w:rPr>
          <w:rFonts w:ascii="Times New Roman" w:eastAsia="楷体" w:hAnsi="Times New Roman" w:cs="Times New Roman" w:hint="eastAsia"/>
        </w:rPr>
        <w:t>Funding</w:t>
      </w:r>
      <w:r w:rsidRPr="00626E73">
        <w:rPr>
          <w:rFonts w:ascii="Times New Roman" w:eastAsia="楷体" w:hAnsi="Times New Roman" w:cs="Times New Roman" w:hint="eastAsia"/>
        </w:rPr>
        <w:t>）能力是保障制度平稳运行的根基。当前，中国以“现收现付制”为主体的第一支柱基本养老保险正面临人口结构变迁的严峻考验。本部分重点探讨第一支柱在融资端面临的财政压力，以及通过全国统筹和参数改革实现制度可持续性的路径。</w:t>
      </w:r>
    </w:p>
    <w:p w14:paraId="5CFED20B" w14:textId="77777777" w:rsidR="00626E73" w:rsidRPr="00626E73" w:rsidRDefault="00626E73" w:rsidP="00626E73">
      <w:pPr>
        <w:pStyle w:val="af1"/>
        <w:numPr>
          <w:ilvl w:val="1"/>
          <w:numId w:val="6"/>
        </w:numPr>
        <w:jc w:val="both"/>
        <w:rPr>
          <w:rFonts w:ascii="Times New Roman" w:eastAsia="楷体" w:hAnsi="Times New Roman" w:cs="Times New Roman"/>
          <w:b/>
          <w:bCs/>
        </w:rPr>
      </w:pPr>
      <w:r w:rsidRPr="00626E73">
        <w:rPr>
          <w:rFonts w:ascii="Times New Roman" w:eastAsia="楷体" w:hAnsi="Times New Roman" w:cs="Times New Roman" w:hint="eastAsia"/>
          <w:b/>
          <w:bCs/>
        </w:rPr>
        <w:t>第一支柱基本养老保险的融资挑战与全国统筹的制度意义</w:t>
      </w:r>
    </w:p>
    <w:p w14:paraId="39C5A88C" w14:textId="24078A19"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rPr>
        <w:t>作为我国养老保障体系的核心支柱，基本养老保险长期依赖现收现付（</w:t>
      </w:r>
      <w:r w:rsidRPr="00626E73">
        <w:rPr>
          <w:rFonts w:ascii="Times New Roman" w:eastAsia="楷体" w:hAnsi="Times New Roman" w:cs="Times New Roman" w:hint="eastAsia"/>
        </w:rPr>
        <w:t>PAYG</w:t>
      </w:r>
      <w:r w:rsidRPr="00626E73">
        <w:rPr>
          <w:rFonts w:ascii="Times New Roman" w:eastAsia="楷体" w:hAnsi="Times New Roman" w:cs="Times New Roman" w:hint="eastAsia"/>
        </w:rPr>
        <w:t>）模式，其可持续性受到人口结构、区域差异与财政承受能力等多重因素影响。随着人口老龄化加速，这一传统融资模式的内在脆弱性愈加凸显。</w:t>
      </w:r>
    </w:p>
    <w:p w14:paraId="1B56A565" w14:textId="5DFCF0B2"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(1) </w:t>
      </w:r>
      <w:r w:rsidRPr="00626E73">
        <w:rPr>
          <w:rFonts w:ascii="Times New Roman" w:eastAsia="楷体" w:hAnsi="Times New Roman" w:cs="Times New Roman" w:hint="eastAsia"/>
          <w:b/>
          <w:bCs/>
        </w:rPr>
        <w:t>人口老龄化对现收现付制的冲击：</w:t>
      </w:r>
      <w:r w:rsidRPr="00626E73">
        <w:rPr>
          <w:rFonts w:ascii="Times New Roman" w:eastAsia="楷体" w:hAnsi="Times New Roman" w:cs="Times New Roman" w:hint="eastAsia"/>
        </w:rPr>
        <w:t>大量研究指出，人口结构的深度老龄化是当前第一支柱融资压力的根源变量。</w:t>
      </w:r>
      <w:r w:rsidRPr="00626E73">
        <w:rPr>
          <w:rFonts w:ascii="Times New Roman" w:eastAsia="楷体" w:hAnsi="Times New Roman" w:cs="Times New Roman" w:hint="eastAsia"/>
        </w:rPr>
        <w:t>Chen</w:t>
      </w:r>
      <w:r w:rsidRPr="00626E73">
        <w:rPr>
          <w:rFonts w:ascii="Times New Roman" w:eastAsia="楷体" w:hAnsi="Times New Roman" w:cs="Times New Roman" w:hint="eastAsia"/>
        </w:rPr>
        <w:t>等人基于随机评估模型（</w:t>
      </w:r>
      <w:r w:rsidRPr="00626E73">
        <w:rPr>
          <w:rFonts w:ascii="Times New Roman" w:eastAsia="楷体" w:hAnsi="Times New Roman" w:cs="Times New Roman" w:hint="eastAsia"/>
        </w:rPr>
        <w:t>Stochastic Evaluation Model</w:t>
      </w:r>
      <w:r w:rsidRPr="00626E73">
        <w:rPr>
          <w:rFonts w:ascii="Times New Roman" w:eastAsia="楷体" w:hAnsi="Times New Roman" w:cs="Times New Roman" w:hint="eastAsia"/>
        </w:rPr>
        <w:t>）测算发现，在现有缴费率与替代率框架下，受益人寿命延长与</w:t>
      </w:r>
      <w:r w:rsidRPr="00626E73">
        <w:rPr>
          <w:rFonts w:ascii="Times New Roman" w:eastAsia="楷体" w:hAnsi="Times New Roman" w:cs="Times New Roman" w:hint="eastAsia"/>
        </w:rPr>
        <w:lastRenderedPageBreak/>
        <w:t>参保人数增长放缓将持续拉大制度性赡养比，使基本养老保险的收支缺口呈现系统性扩大趋势</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_Ref89863026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[10]</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。这一结论与世界银行和</w:t>
      </w:r>
      <w:r w:rsidRPr="00626E73">
        <w:rPr>
          <w:rFonts w:ascii="Times New Roman" w:eastAsia="楷体" w:hAnsi="Times New Roman" w:cs="Times New Roman" w:hint="eastAsia"/>
        </w:rPr>
        <w:t>IMF</w:t>
      </w:r>
      <w:r w:rsidRPr="00626E73">
        <w:rPr>
          <w:rFonts w:ascii="Times New Roman" w:eastAsia="楷体" w:hAnsi="Times New Roman" w:cs="Times New Roman" w:hint="eastAsia"/>
        </w:rPr>
        <w:t>的长期预测高度一致，即老龄化使</w:t>
      </w:r>
      <w:r w:rsidRPr="00626E73">
        <w:rPr>
          <w:rFonts w:ascii="Times New Roman" w:eastAsia="楷体" w:hAnsi="Times New Roman" w:cs="Times New Roman" w:hint="eastAsia"/>
        </w:rPr>
        <w:t>PAYG</w:t>
      </w:r>
      <w:r w:rsidRPr="00626E73">
        <w:rPr>
          <w:rFonts w:ascii="Times New Roman" w:eastAsia="楷体" w:hAnsi="Times New Roman" w:cs="Times New Roman" w:hint="eastAsia"/>
        </w:rPr>
        <w:t>制度面临“更多领取者、少数缴费者”的结构性矛盾</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_Ref43983597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[8]</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_Ref60661578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[11]</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。此外，</w:t>
      </w:r>
      <w:r w:rsidRPr="00626E73">
        <w:rPr>
          <w:rFonts w:ascii="Times New Roman" w:eastAsia="楷体" w:hAnsi="Times New Roman" w:cs="Times New Roman" w:hint="eastAsia"/>
        </w:rPr>
        <w:t>Fang</w:t>
      </w:r>
      <w:r w:rsidRPr="00626E73">
        <w:rPr>
          <w:rFonts w:ascii="Times New Roman" w:eastAsia="楷体" w:hAnsi="Times New Roman" w:cs="Times New Roman" w:hint="eastAsia"/>
        </w:rPr>
        <w:t>与</w:t>
      </w:r>
      <w:r w:rsidRPr="00626E73">
        <w:rPr>
          <w:rFonts w:ascii="Times New Roman" w:eastAsia="楷体" w:hAnsi="Times New Roman" w:cs="Times New Roman" w:hint="eastAsia"/>
        </w:rPr>
        <w:t>Feng</w:t>
      </w:r>
      <w:r w:rsidRPr="00626E73">
        <w:rPr>
          <w:rFonts w:ascii="Times New Roman" w:eastAsia="楷体" w:hAnsi="Times New Roman" w:cs="Times New Roman" w:hint="eastAsia"/>
        </w:rPr>
        <w:t>的研究指出，中国养老金长期存在的分割管理与统筹层级较低的问题，使人口老龄化冲击在地区间产生不对称效应：劳动力净流出省份缴费收入增长乏力，而退休人口净流入地区的支付压力持续攀升，从而出现个别地区养老金“穿底”或依赖财政紧急补贴的情形</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_Ref6035906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[12]</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。这种碎片化管理提高了制度的不稳定性，使人口冲击对融资端的传导更加剧烈。</w:t>
      </w:r>
    </w:p>
    <w:p w14:paraId="20D50266" w14:textId="49A60F4A"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(2) </w:t>
      </w:r>
      <w:r w:rsidRPr="00626E73">
        <w:rPr>
          <w:rFonts w:ascii="Times New Roman" w:eastAsia="楷体" w:hAnsi="Times New Roman" w:cs="Times New Roman" w:hint="eastAsia"/>
          <w:b/>
          <w:bCs/>
        </w:rPr>
        <w:t>区域不平衡与全国统筹的融资再分配功能：</w:t>
      </w:r>
      <w:r w:rsidRPr="00626E73">
        <w:rPr>
          <w:rFonts w:ascii="Times New Roman" w:eastAsia="楷体" w:hAnsi="Times New Roman" w:cs="Times New Roman" w:hint="eastAsia"/>
        </w:rPr>
        <w:t>为缓解区域间巨大的融资不均衡，要恒提出，全国统筹的核心作用在于通过扩大资金池实现全国范围内的“余缺调剂”，以中央统筹弥补地方财政与缴费能力差异，从而降低因人口结构差异导致的支付风险</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_Ref69706267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[13]</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。相较于现行的省级统筹，全国统筹能够显著提升资金的风险分散能力，使融资责任从“地方财政背书”转向“国家信用背书”，从制度设计上增强第一支柱的可持续性。国际经验亦支持扩大统筹层级的必要性，</w:t>
      </w:r>
      <w:r w:rsidRPr="00626E73">
        <w:rPr>
          <w:rFonts w:ascii="Times New Roman" w:eastAsia="楷体" w:hAnsi="Times New Roman" w:cs="Times New Roman" w:hint="eastAsia"/>
        </w:rPr>
        <w:t>Holzmann</w:t>
      </w:r>
      <w:r w:rsidRPr="00626E73">
        <w:rPr>
          <w:rFonts w:ascii="Times New Roman" w:eastAsia="楷体" w:hAnsi="Times New Roman" w:cs="Times New Roman" w:hint="eastAsia"/>
        </w:rPr>
        <w:t>和</w:t>
      </w:r>
      <w:r w:rsidRPr="00626E73">
        <w:rPr>
          <w:rFonts w:ascii="Times New Roman" w:eastAsia="楷体" w:hAnsi="Times New Roman" w:cs="Times New Roman" w:hint="eastAsia"/>
        </w:rPr>
        <w:t>Barr</w:t>
      </w:r>
      <w:r w:rsidRPr="00626E73">
        <w:rPr>
          <w:rFonts w:ascii="Times New Roman" w:eastAsia="楷体" w:hAnsi="Times New Roman" w:cs="Times New Roman" w:hint="eastAsia"/>
        </w:rPr>
        <w:t>等经典研究指出，提高统筹层级是</w:t>
      </w:r>
      <w:r w:rsidRPr="00626E73">
        <w:rPr>
          <w:rFonts w:ascii="Times New Roman" w:eastAsia="楷体" w:hAnsi="Times New Roman" w:cs="Times New Roman" w:hint="eastAsia"/>
        </w:rPr>
        <w:t>PAYG</w:t>
      </w:r>
      <w:r w:rsidRPr="00626E73">
        <w:rPr>
          <w:rFonts w:ascii="Times New Roman" w:eastAsia="楷体" w:hAnsi="Times New Roman" w:cs="Times New Roman" w:hint="eastAsia"/>
        </w:rPr>
        <w:t>制度应对老龄化冲击的有效制度性工具，可通过扩大基数降低负债波动性并增强制度韧性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_Ref85316116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[14]</w:t>
      </w:r>
      <w:r w:rsidR="00AF33AC">
        <w:rPr>
          <w:rFonts w:ascii="Times New Roman" w:eastAsia="楷体" w:hAnsi="Times New Roman" w:cs="Times New Roman"/>
        </w:rPr>
        <w:fldChar w:fldCharType="end"/>
      </w:r>
      <w:r w:rsidR="00AF33AC">
        <w:rPr>
          <w:rFonts w:ascii="Times New Roman" w:eastAsia="楷体" w:hAnsi="Times New Roman" w:cs="Times New Roman" w:hint="eastAsia"/>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_Ref38394779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[15]</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_Ref64662886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[16]</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w:t>
      </w:r>
    </w:p>
    <w:p w14:paraId="6AD2181E" w14:textId="588BD83E" w:rsid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(3) </w:t>
      </w:r>
      <w:r w:rsidRPr="00626E73">
        <w:rPr>
          <w:rFonts w:ascii="Times New Roman" w:eastAsia="楷体" w:hAnsi="Times New Roman" w:cs="Times New Roman" w:hint="eastAsia"/>
          <w:b/>
          <w:bCs/>
        </w:rPr>
        <w:t>财政补贴的角色与可持续性评估：</w:t>
      </w:r>
      <w:r w:rsidRPr="00626E73">
        <w:rPr>
          <w:rFonts w:ascii="Times New Roman" w:eastAsia="楷体" w:hAnsi="Times New Roman" w:cs="Times New Roman" w:hint="eastAsia"/>
        </w:rPr>
        <w:t>在缴费收入不足以覆盖支出的背景下，财政补贴成为第一支柱的重要融资来源。</w:t>
      </w:r>
      <w:r w:rsidR="00BB09B2" w:rsidRPr="00BB09B2">
        <w:rPr>
          <w:rFonts w:ascii="Times New Roman" w:eastAsia="楷体" w:hAnsi="Times New Roman" w:cs="Times New Roman"/>
        </w:rPr>
        <w:t>J. Díaz-Giménez</w:t>
      </w:r>
      <w:r w:rsidR="00BB09B2" w:rsidRPr="00BB09B2">
        <w:rPr>
          <w:rFonts w:ascii="Times New Roman" w:eastAsia="楷体" w:hAnsi="Times New Roman" w:cs="Times New Roman" w:hint="eastAsia"/>
        </w:rPr>
        <w:t>等对公共养老金改革的财务可持续性进行了系统研究，指出在深度老龄化下</w:t>
      </w:r>
      <w:r w:rsidR="00BB09B2" w:rsidRPr="00BB09B2">
        <w:rPr>
          <w:rFonts w:ascii="Times New Roman" w:eastAsia="楷体" w:hAnsi="Times New Roman" w:cs="Times New Roman" w:hint="eastAsia"/>
        </w:rPr>
        <w:t xml:space="preserve"> PAYG </w:t>
      </w:r>
      <w:r w:rsidR="00BB09B2" w:rsidRPr="00BB09B2">
        <w:rPr>
          <w:rFonts w:ascii="Times New Roman" w:eastAsia="楷体" w:hAnsi="Times New Roman" w:cs="Times New Roman" w:hint="eastAsia"/>
        </w:rPr>
        <w:t>制度若缺乏配套改革，将不可避免地积累长期财政压力并推升代际不公平</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_Ref87884116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[17]</w:t>
      </w:r>
      <w:r w:rsidR="00AF33AC">
        <w:rPr>
          <w:rFonts w:ascii="Times New Roman" w:eastAsia="楷体" w:hAnsi="Times New Roman" w:cs="Times New Roman"/>
        </w:rPr>
        <w:fldChar w:fldCharType="end"/>
      </w:r>
      <w:r w:rsidR="00BB09B2" w:rsidRPr="00BB09B2">
        <w:rPr>
          <w:rFonts w:ascii="Times New Roman" w:eastAsia="楷体" w:hAnsi="Times New Roman" w:cs="Times New Roman" w:hint="eastAsia"/>
        </w:rPr>
        <w:t>。</w:t>
      </w:r>
      <w:r w:rsidRPr="00626E73">
        <w:rPr>
          <w:rFonts w:ascii="Times New Roman" w:eastAsia="楷体" w:hAnsi="Times New Roman" w:cs="Times New Roman" w:hint="eastAsia"/>
        </w:rPr>
        <w:t>但祁玉良的研究表明，长期依赖财政兜底会推升隐性养老金债务（</w:t>
      </w:r>
      <w:r w:rsidRPr="00626E73">
        <w:rPr>
          <w:rFonts w:ascii="Times New Roman" w:eastAsia="楷体" w:hAnsi="Times New Roman" w:cs="Times New Roman" w:hint="eastAsia"/>
        </w:rPr>
        <w:t>Implicit Pension Debt</w:t>
      </w:r>
      <w:r w:rsidRPr="00626E73">
        <w:rPr>
          <w:rFonts w:ascii="Times New Roman" w:eastAsia="楷体" w:hAnsi="Times New Roman" w:cs="Times New Roman" w:hint="eastAsia"/>
        </w:rPr>
        <w:t>），从而挤压其他公共支出空间，弱化制度的内生可持续性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_Ref51535887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[18]</w:t>
      </w:r>
      <w:r w:rsidR="00AF33AC">
        <w:rPr>
          <w:rFonts w:ascii="Times New Roman" w:eastAsia="楷体" w:hAnsi="Times New Roman" w:cs="Times New Roman"/>
        </w:rPr>
        <w:fldChar w:fldCharType="end"/>
      </w:r>
      <w:r w:rsidR="00BB09B2">
        <w:rPr>
          <w:rFonts w:ascii="Times New Roman" w:eastAsia="楷体" w:hAnsi="Times New Roman" w:cs="Times New Roman" w:hint="eastAsia"/>
        </w:rPr>
        <w:t>，</w:t>
      </w:r>
      <w:r w:rsidRPr="00626E73">
        <w:rPr>
          <w:rFonts w:ascii="Times New Roman" w:eastAsia="楷体" w:hAnsi="Times New Roman" w:cs="Times New Roman" w:hint="eastAsia"/>
        </w:rPr>
        <w:t>政策应从“事后补贴”转向“事前调节”</w:t>
      </w:r>
      <w:r w:rsidR="00BB09B2">
        <w:rPr>
          <w:rFonts w:ascii="Times New Roman" w:eastAsia="楷体" w:hAnsi="Times New Roman" w:cs="Times New Roman" w:hint="eastAsia"/>
        </w:rPr>
        <w:t>，</w:t>
      </w:r>
      <w:r w:rsidRPr="00626E73">
        <w:rPr>
          <w:rFonts w:ascii="Times New Roman" w:eastAsia="楷体" w:hAnsi="Times New Roman" w:cs="Times New Roman" w:hint="eastAsia"/>
        </w:rPr>
        <w:t>强调制度自我平衡能力。在此背景下，</w:t>
      </w:r>
      <w:r w:rsidRPr="00626E73">
        <w:rPr>
          <w:rFonts w:ascii="Times New Roman" w:eastAsia="楷体" w:hAnsi="Times New Roman" w:cs="Times New Roman" w:hint="eastAsia"/>
        </w:rPr>
        <w:t>IMF</w:t>
      </w:r>
      <w:r w:rsidRPr="00626E73">
        <w:rPr>
          <w:rFonts w:ascii="Times New Roman" w:eastAsia="楷体" w:hAnsi="Times New Roman" w:cs="Times New Roman" w:hint="eastAsia"/>
        </w:rPr>
        <w:t>提出了用于评估公共养老金可持续性的财政指标体系，包括代际核算、长期精算平衡测算和政府隐性负债评估等，以帮助政府更清晰地界定养老金融资的长期财政承诺</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_Ref55952829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[11]</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_Ref97394568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[19]</w:t>
      </w:r>
      <w:r w:rsidR="00AF33AC">
        <w:rPr>
          <w:rFonts w:ascii="Times New Roman" w:eastAsia="楷体" w:hAnsi="Times New Roman" w:cs="Times New Roman"/>
        </w:rPr>
        <w:fldChar w:fldCharType="end"/>
      </w:r>
      <w:r w:rsidR="00BB09B2" w:rsidRPr="003E05F2">
        <w:rPr>
          <w:rFonts w:ascii="Times New Roman" w:eastAsia="楷体" w:hAnsi="Times New Roman" w:cs="Times New Roman" w:hint="eastAsia"/>
        </w:rPr>
        <w:t>。</w:t>
      </w:r>
      <w:r w:rsidR="00BB09B2">
        <w:rPr>
          <w:rFonts w:ascii="Times New Roman" w:eastAsia="楷体" w:hAnsi="Times New Roman" w:cs="Times New Roman" w:hint="eastAsia"/>
        </w:rPr>
        <w:t>同时，有相关研究</w:t>
      </w:r>
      <w:r w:rsidR="003E05F2" w:rsidRPr="003E05F2">
        <w:rPr>
          <w:rFonts w:ascii="Times New Roman" w:eastAsia="楷体" w:hAnsi="Times New Roman" w:cs="Times New Roman" w:hint="eastAsia"/>
        </w:rPr>
        <w:t>构建了跨国比较视角下的公共养老金可持续性指标体系，以量化</w:t>
      </w:r>
      <w:r w:rsidR="003E05F2" w:rsidRPr="003E05F2">
        <w:rPr>
          <w:rFonts w:ascii="Times New Roman" w:eastAsia="楷体" w:hAnsi="Times New Roman" w:cs="Times New Roman" w:hint="eastAsia"/>
        </w:rPr>
        <w:t>PAYG</w:t>
      </w:r>
      <w:r w:rsidR="003E05F2" w:rsidRPr="003E05F2">
        <w:rPr>
          <w:rFonts w:ascii="Times New Roman" w:eastAsia="楷体" w:hAnsi="Times New Roman" w:cs="Times New Roman" w:hint="eastAsia"/>
        </w:rPr>
        <w:t>制度的长期财政承诺</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_Ref62778091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[20]</w:t>
      </w:r>
      <w:r w:rsidR="00AF33AC">
        <w:rPr>
          <w:rFonts w:ascii="Times New Roman" w:eastAsia="楷体" w:hAnsi="Times New Roman" w:cs="Times New Roman"/>
        </w:rPr>
        <w:fldChar w:fldCharType="end"/>
      </w:r>
      <w:r w:rsidR="003E05F2" w:rsidRPr="003E05F2">
        <w:rPr>
          <w:rFonts w:ascii="Times New Roman" w:eastAsia="楷体" w:hAnsi="Times New Roman" w:cs="Times New Roman" w:hint="eastAsia"/>
        </w:rPr>
        <w:t>。</w:t>
      </w:r>
      <w:r w:rsidRPr="00626E73">
        <w:rPr>
          <w:rFonts w:ascii="Times New Roman" w:eastAsia="楷体" w:hAnsi="Times New Roman" w:cs="Times New Roman" w:hint="eastAsia"/>
        </w:rPr>
        <w:t>此外，</w:t>
      </w:r>
      <w:r w:rsidRPr="00626E73">
        <w:rPr>
          <w:rFonts w:ascii="Times New Roman" w:eastAsia="楷体" w:hAnsi="Times New Roman" w:cs="Times New Roman" w:hint="eastAsia"/>
        </w:rPr>
        <w:t>Yin</w:t>
      </w:r>
      <w:r w:rsidRPr="00626E73">
        <w:rPr>
          <w:rFonts w:ascii="Times New Roman" w:eastAsia="楷体" w:hAnsi="Times New Roman" w:cs="Times New Roman" w:hint="eastAsia"/>
        </w:rPr>
        <w:t>和</w:t>
      </w:r>
      <w:r w:rsidRPr="00626E73">
        <w:rPr>
          <w:rFonts w:ascii="Times New Roman" w:eastAsia="楷体" w:hAnsi="Times New Roman" w:cs="Times New Roman" w:hint="eastAsia"/>
        </w:rPr>
        <w:t>Zhao</w:t>
      </w:r>
      <w:r w:rsidRPr="00626E73">
        <w:rPr>
          <w:rFonts w:ascii="Times New Roman" w:eastAsia="楷体" w:hAnsi="Times New Roman" w:cs="Times New Roman" w:hint="eastAsia"/>
        </w:rPr>
        <w:t>的研究还指出，科学的待遇调整机制也是维持融资平衡的关键，建议建立与经济发展和物价水平挂钩的透明调整指数，以防止支出端的刚性增长失控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_Ref47932452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[21]</w:t>
      </w:r>
      <w:r w:rsidR="00AF33AC">
        <w:rPr>
          <w:rFonts w:ascii="Times New Roman" w:eastAsia="楷体" w:hAnsi="Times New Roman" w:cs="Times New Roman"/>
        </w:rPr>
        <w:fldChar w:fldCharType="end"/>
      </w:r>
      <w:r w:rsidR="00BB09B2">
        <w:rPr>
          <w:rFonts w:ascii="Times New Roman" w:eastAsia="楷体" w:hAnsi="Times New Roman" w:cs="Times New Roman" w:hint="eastAsia"/>
        </w:rPr>
        <w:t>。</w:t>
      </w:r>
    </w:p>
    <w:p w14:paraId="21CC0B75" w14:textId="2AF9D22C" w:rsidR="008C1EF4" w:rsidRPr="00626E73" w:rsidRDefault="00626E73" w:rsidP="00626E73">
      <w:pPr>
        <w:pStyle w:val="af1"/>
        <w:numPr>
          <w:ilvl w:val="1"/>
          <w:numId w:val="6"/>
        </w:numPr>
        <w:jc w:val="both"/>
        <w:rPr>
          <w:rFonts w:ascii="Times New Roman" w:eastAsia="楷体" w:hAnsi="Times New Roman" w:cs="Times New Roman"/>
          <w:b/>
          <w:bCs/>
        </w:rPr>
      </w:pPr>
      <w:r w:rsidRPr="00626E73">
        <w:rPr>
          <w:rFonts w:ascii="Times New Roman" w:eastAsia="楷体" w:hAnsi="Times New Roman" w:cs="Times New Roman"/>
          <w:b/>
          <w:bCs/>
        </w:rPr>
        <w:t>构建多支柱融资结构：从单一向多元的转型</w:t>
      </w:r>
    </w:p>
    <w:p w14:paraId="79B36895" w14:textId="1C674ABC"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rPr>
        <w:t>为了化解第一支柱的单一融资风险，构建多层次、多支柱的养老金体系已成为全球共识。该结构旨在通过引入积累制（</w:t>
      </w:r>
      <w:r w:rsidRPr="00626E73">
        <w:rPr>
          <w:rFonts w:ascii="Times New Roman" w:eastAsia="楷体" w:hAnsi="Times New Roman" w:cs="Times New Roman" w:hint="eastAsia"/>
        </w:rPr>
        <w:t>Funded System</w:t>
      </w:r>
      <w:r w:rsidRPr="00626E73">
        <w:rPr>
          <w:rFonts w:ascii="Times New Roman" w:eastAsia="楷体" w:hAnsi="Times New Roman" w:cs="Times New Roman" w:hint="eastAsia"/>
        </w:rPr>
        <w:t>）的第二、三支柱，将养老金融资责任在政府、企业和个人之间进行更合理的分配，从而降低财政负担并提高制度的整体抗风险能力。</w:t>
      </w:r>
    </w:p>
    <w:p w14:paraId="4BFDDDCD" w14:textId="6D9B3C02"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(1) </w:t>
      </w:r>
      <w:r w:rsidRPr="00626E73">
        <w:rPr>
          <w:rFonts w:ascii="Times New Roman" w:eastAsia="楷体" w:hAnsi="Times New Roman" w:cs="Times New Roman" w:hint="eastAsia"/>
          <w:b/>
          <w:bCs/>
        </w:rPr>
        <w:t>多支柱理论与全球实践：</w:t>
      </w:r>
      <w:r w:rsidRPr="00626E73">
        <w:rPr>
          <w:rFonts w:ascii="Times New Roman" w:eastAsia="楷体" w:hAnsi="Times New Roman" w:cs="Times New Roman" w:hint="eastAsia"/>
        </w:rPr>
        <w:t>世界银行在经典的养老金改革研究中提出了多支柱框架，强调通过多样化的融资渠道来分散人口老龄化带来的风险。</w:t>
      </w:r>
      <w:r w:rsidRPr="00626E73">
        <w:rPr>
          <w:rFonts w:ascii="Times New Roman" w:eastAsia="楷体" w:hAnsi="Times New Roman" w:cs="Times New Roman" w:hint="eastAsia"/>
        </w:rPr>
        <w:t>Holzmann</w:t>
      </w:r>
      <w:r w:rsidRPr="00626E73">
        <w:rPr>
          <w:rFonts w:ascii="Times New Roman" w:eastAsia="楷体" w:hAnsi="Times New Roman" w:cs="Times New Roman" w:hint="eastAsia"/>
        </w:rPr>
        <w:t>和</w:t>
      </w:r>
      <w:r w:rsidRPr="00626E73">
        <w:rPr>
          <w:rFonts w:ascii="Times New Roman" w:eastAsia="楷体" w:hAnsi="Times New Roman" w:cs="Times New Roman" w:hint="eastAsia"/>
        </w:rPr>
        <w:t>Hinz</w:t>
      </w:r>
      <w:r w:rsidRPr="00626E73">
        <w:rPr>
          <w:rFonts w:ascii="Times New Roman" w:eastAsia="楷体" w:hAnsi="Times New Roman" w:cs="Times New Roman" w:hint="eastAsia"/>
        </w:rPr>
        <w:t>指出，</w:t>
      </w:r>
      <w:r w:rsidRPr="00626E73">
        <w:rPr>
          <w:rFonts w:ascii="Times New Roman" w:eastAsia="楷体" w:hAnsi="Times New Roman" w:cs="Times New Roman" w:hint="eastAsia"/>
        </w:rPr>
        <w:t>21</w:t>
      </w:r>
      <w:r w:rsidRPr="00626E73">
        <w:rPr>
          <w:rFonts w:ascii="Times New Roman" w:eastAsia="楷体" w:hAnsi="Times New Roman" w:cs="Times New Roman" w:hint="eastAsia"/>
        </w:rPr>
        <w:t>世纪的老年收入支持体系不应仅依赖公共财政的转移支付（第一支柱），</w:t>
      </w:r>
      <w:r w:rsidRPr="00626E73">
        <w:rPr>
          <w:rFonts w:ascii="Times New Roman" w:eastAsia="楷体" w:hAnsi="Times New Roman" w:cs="Times New Roman" w:hint="eastAsia"/>
        </w:rPr>
        <w:lastRenderedPageBreak/>
        <w:t>而应大力发展与就业关联的职业年金（第二支柱）和自愿性的个人储蓄计划（第三支柱）</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_Ref69421929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[16]</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。这种融资结构的转型，本质上是从“代际供养”向“自我积累”的跨越。</w:t>
      </w:r>
      <w:r w:rsidRPr="00626E73">
        <w:rPr>
          <w:rFonts w:ascii="Times New Roman" w:eastAsia="楷体" w:hAnsi="Times New Roman" w:cs="Times New Roman" w:hint="eastAsia"/>
        </w:rPr>
        <w:t>Barr</w:t>
      </w:r>
      <w:r w:rsidRPr="00626E73">
        <w:rPr>
          <w:rFonts w:ascii="Times New Roman" w:eastAsia="楷体" w:hAnsi="Times New Roman" w:cs="Times New Roman" w:hint="eastAsia"/>
        </w:rPr>
        <w:t>和</w:t>
      </w:r>
      <w:r w:rsidRPr="00626E73">
        <w:rPr>
          <w:rFonts w:ascii="Times New Roman" w:eastAsia="楷体" w:hAnsi="Times New Roman" w:cs="Times New Roman" w:hint="eastAsia"/>
        </w:rPr>
        <w:t>Diamond</w:t>
      </w:r>
      <w:r w:rsidRPr="00626E73">
        <w:rPr>
          <w:rFonts w:ascii="Times New Roman" w:eastAsia="楷体" w:hAnsi="Times New Roman" w:cs="Times New Roman" w:hint="eastAsia"/>
        </w:rPr>
        <w:t>进一步从福利经济学角度论证了多支柱体系的必要性，认为不同支柱由于融资来源（税收</w:t>
      </w:r>
      <w:r w:rsidRPr="00626E73">
        <w:rPr>
          <w:rFonts w:ascii="Times New Roman" w:eastAsia="楷体" w:hAnsi="Times New Roman" w:cs="Times New Roman" w:hint="eastAsia"/>
        </w:rPr>
        <w:t xml:space="preserve"> vs. </w:t>
      </w:r>
      <w:r w:rsidRPr="00626E73">
        <w:rPr>
          <w:rFonts w:ascii="Times New Roman" w:eastAsia="楷体" w:hAnsi="Times New Roman" w:cs="Times New Roman" w:hint="eastAsia"/>
        </w:rPr>
        <w:t>储蓄）和风险属性（政治风险</w:t>
      </w:r>
      <w:r w:rsidRPr="00626E73">
        <w:rPr>
          <w:rFonts w:ascii="Times New Roman" w:eastAsia="楷体" w:hAnsi="Times New Roman" w:cs="Times New Roman" w:hint="eastAsia"/>
        </w:rPr>
        <w:t xml:space="preserve"> vs. </w:t>
      </w:r>
      <w:r w:rsidRPr="00626E73">
        <w:rPr>
          <w:rFonts w:ascii="Times New Roman" w:eastAsia="楷体" w:hAnsi="Times New Roman" w:cs="Times New Roman" w:hint="eastAsia"/>
        </w:rPr>
        <w:t>市场风险）的不同，组合在一起可以最大化制度的稳健性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_Ref62708211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_Ref58512199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[15]</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w:t>
      </w:r>
    </w:p>
    <w:p w14:paraId="6D5343DE" w14:textId="3F82A188" w:rsidR="00626E73" w:rsidRP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(2) </w:t>
      </w:r>
      <w:r w:rsidRPr="00626E73">
        <w:rPr>
          <w:rFonts w:ascii="Times New Roman" w:eastAsia="楷体" w:hAnsi="Times New Roman" w:cs="Times New Roman" w:hint="eastAsia"/>
          <w:b/>
          <w:bCs/>
        </w:rPr>
        <w:t>积累制融资对财政压力的缓解：</w:t>
      </w:r>
      <w:r w:rsidRPr="00626E73">
        <w:rPr>
          <w:rFonts w:ascii="Times New Roman" w:eastAsia="楷体" w:hAnsi="Times New Roman" w:cs="Times New Roman" w:hint="eastAsia"/>
        </w:rPr>
        <w:t>与第一支柱的现收现付制不同，第二、三支柱通常采用完全积累制（</w:t>
      </w:r>
      <w:r w:rsidRPr="00626E73">
        <w:rPr>
          <w:rFonts w:ascii="Times New Roman" w:eastAsia="楷体" w:hAnsi="Times New Roman" w:cs="Times New Roman" w:hint="eastAsia"/>
        </w:rPr>
        <w:t>Fully Funded</w:t>
      </w:r>
      <w:r w:rsidRPr="00626E73">
        <w:rPr>
          <w:rFonts w:ascii="Times New Roman" w:eastAsia="楷体" w:hAnsi="Times New Roman" w:cs="Times New Roman" w:hint="eastAsia"/>
        </w:rPr>
        <w:t>）。</w:t>
      </w:r>
      <w:r w:rsidRPr="00626E73">
        <w:rPr>
          <w:rFonts w:ascii="Times New Roman" w:eastAsia="楷体" w:hAnsi="Times New Roman" w:cs="Times New Roman" w:hint="eastAsia"/>
        </w:rPr>
        <w:t>NIRS</w:t>
      </w:r>
      <w:r w:rsidRPr="00626E73">
        <w:rPr>
          <w:rFonts w:ascii="Times New Roman" w:eastAsia="楷体" w:hAnsi="Times New Roman" w:cs="Times New Roman" w:hint="eastAsia"/>
        </w:rPr>
        <w:t>与</w:t>
      </w:r>
      <w:r w:rsidRPr="00626E73">
        <w:rPr>
          <w:rFonts w:ascii="Times New Roman" w:eastAsia="楷体" w:hAnsi="Times New Roman" w:cs="Times New Roman" w:hint="eastAsia"/>
        </w:rPr>
        <w:t>Aon</w:t>
      </w:r>
      <w:r w:rsidRPr="00626E73">
        <w:rPr>
          <w:rFonts w:ascii="Times New Roman" w:eastAsia="楷体" w:hAnsi="Times New Roman" w:cs="Times New Roman" w:hint="eastAsia"/>
        </w:rPr>
        <w:t>的联合研究显示，成熟的公共养老金计划通过长期的资本积累和复利增长，能够有效补充退休收入，从而降低对公共财政的依赖</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_Ref1494473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。在融资端，这种模式将资金来源从当期的劳动人口缴费扩展到了资本市场的投资回报，利用金融市场的增值能力来应对长寿风险。</w:t>
      </w:r>
    </w:p>
    <w:p w14:paraId="21AADA62" w14:textId="714DBC35" w:rsidR="00626E73" w:rsidRDefault="00626E73" w:rsidP="00626E73">
      <w:pPr>
        <w:pStyle w:val="af1"/>
        <w:jc w:val="both"/>
        <w:rPr>
          <w:rFonts w:ascii="Times New Roman" w:eastAsia="楷体" w:hAnsi="Times New Roman" w:cs="Times New Roman"/>
        </w:rPr>
      </w:pPr>
      <w:r w:rsidRPr="00626E73">
        <w:rPr>
          <w:rFonts w:ascii="Times New Roman" w:eastAsia="楷体" w:hAnsi="Times New Roman" w:cs="Times New Roman" w:hint="eastAsia"/>
          <w:b/>
          <w:bCs/>
        </w:rPr>
        <w:t xml:space="preserve">(3) </w:t>
      </w:r>
      <w:r w:rsidRPr="00626E73">
        <w:rPr>
          <w:rFonts w:ascii="Times New Roman" w:eastAsia="楷体" w:hAnsi="Times New Roman" w:cs="Times New Roman" w:hint="eastAsia"/>
          <w:b/>
          <w:bCs/>
        </w:rPr>
        <w:t>中国的结构性失衡与改革方向：</w:t>
      </w:r>
      <w:r w:rsidRPr="00626E73">
        <w:rPr>
          <w:rFonts w:ascii="Times New Roman" w:eastAsia="楷体" w:hAnsi="Times New Roman" w:cs="Times New Roman" w:hint="eastAsia"/>
        </w:rPr>
        <w:t>具体到中国，当前的融资结构仍存在显著的“一支独大”特征，第一支柱承担了过重的保障责任，而二、三支柱发展相对滞后。李晓琴等人的研究表明，这种结构性失衡是导致中国养老体系融资脆弱性的关键原因</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_Ref5115336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[7]</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为改变这一现状，政策层面正在加速推动第三支柱个人养老金的发展。中国银行研究院的报告《促进我国养老金“长钱长投”的思考和建议》指出，应通过税收优惠等政策激励，引导居民储蓄向养老金资产转化，做大第三支柱资金池</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_Ref28239298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[9]</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这不仅能为养老体系注入新的资金来源，还能形成规模巨大的长期资本，实现融资端与投资端的良性循环。世界银行针对中国的改革建议书也明确提出，中国应逐步降低第一支柱的缴费率，为二、三支柱的发展腾挪空间，最终形成“三足鼎立”的均衡融资格局</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_Ref69182575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[8]</w:t>
      </w:r>
      <w:r w:rsidR="00AF33AC">
        <w:rPr>
          <w:rFonts w:ascii="Times New Roman" w:eastAsia="楷体" w:hAnsi="Times New Roman" w:cs="Times New Roman"/>
        </w:rPr>
        <w:fldChar w:fldCharType="end"/>
      </w:r>
      <w:r w:rsidRPr="00626E73">
        <w:rPr>
          <w:rFonts w:ascii="Times New Roman" w:eastAsia="楷体" w:hAnsi="Times New Roman" w:cs="Times New Roman" w:hint="eastAsia"/>
        </w:rPr>
        <w:t>。</w:t>
      </w:r>
    </w:p>
    <w:p w14:paraId="6C03C50B" w14:textId="1F92624A" w:rsidR="008C1EF4" w:rsidRPr="00167353" w:rsidRDefault="00167353" w:rsidP="00195763">
      <w:pPr>
        <w:pStyle w:val="af1"/>
        <w:numPr>
          <w:ilvl w:val="0"/>
          <w:numId w:val="6"/>
        </w:numPr>
        <w:jc w:val="both"/>
        <w:rPr>
          <w:rFonts w:ascii="Times New Roman" w:eastAsia="楷体" w:hAnsi="Times New Roman" w:cs="Times New Roman"/>
          <w:b/>
          <w:bCs/>
          <w:sz w:val="28"/>
          <w:szCs w:val="28"/>
        </w:rPr>
      </w:pPr>
      <w:r w:rsidRPr="00167353">
        <w:rPr>
          <w:rFonts w:ascii="Times New Roman" w:eastAsia="楷体" w:hAnsi="Times New Roman" w:cs="Times New Roman"/>
          <w:b/>
          <w:bCs/>
          <w:sz w:val="28"/>
          <w:szCs w:val="28"/>
        </w:rPr>
        <w:t>投资：第一支柱的资产配置与策略转型</w:t>
      </w:r>
    </w:p>
    <w:p w14:paraId="67AB31CD" w14:textId="5FD3D2EB" w:rsidR="008C1EF4" w:rsidRPr="007D4673" w:rsidRDefault="00167353" w:rsidP="00195763">
      <w:pPr>
        <w:pStyle w:val="af1"/>
        <w:jc w:val="both"/>
        <w:rPr>
          <w:rFonts w:ascii="Times New Roman" w:eastAsia="楷体" w:hAnsi="Times New Roman" w:cs="Times New Roman"/>
        </w:rPr>
      </w:pPr>
      <w:r w:rsidRPr="00167353">
        <w:rPr>
          <w:rFonts w:ascii="Times New Roman" w:eastAsia="楷体" w:hAnsi="Times New Roman" w:cs="Times New Roman" w:hint="eastAsia"/>
        </w:rPr>
        <w:t>面向快速老龄化与长期负债压力，第一支柱公共养老金的投资策略在全球范围内呈现出显著的结构性转型。传统以固定收益为核心的稳健投资范式已难以覆盖未来养老金支付责任，各国公共养老金基金开始系统性提高风险资产敞口、扩大另类资产配置并推动投资组合的全球化布局，以实现更高的长期回报和更强的抗冲击能力。本节基于</w:t>
      </w:r>
      <w:r w:rsidRPr="00167353">
        <w:rPr>
          <w:rFonts w:ascii="Times New Roman" w:eastAsia="楷体" w:hAnsi="Times New Roman" w:cs="Times New Roman" w:hint="eastAsia"/>
        </w:rPr>
        <w:t xml:space="preserve"> OECD</w:t>
      </w:r>
      <w:r w:rsidRPr="00167353">
        <w:rPr>
          <w:rFonts w:ascii="Times New Roman" w:eastAsia="楷体" w:hAnsi="Times New Roman" w:cs="Times New Roman" w:hint="eastAsia"/>
        </w:rPr>
        <w:t>、世界银行、</w:t>
      </w:r>
      <w:r w:rsidRPr="00167353">
        <w:rPr>
          <w:rFonts w:ascii="Times New Roman" w:eastAsia="楷体" w:hAnsi="Times New Roman" w:cs="Times New Roman" w:hint="eastAsia"/>
        </w:rPr>
        <w:t>Mercer</w:t>
      </w:r>
      <w:r w:rsidRPr="00167353">
        <w:rPr>
          <w:rFonts w:ascii="Times New Roman" w:eastAsia="楷体" w:hAnsi="Times New Roman" w:cs="Times New Roman" w:hint="eastAsia"/>
        </w:rPr>
        <w:t>、</w:t>
      </w:r>
      <w:r w:rsidRPr="00167353">
        <w:rPr>
          <w:rFonts w:ascii="Times New Roman" w:eastAsia="楷体" w:hAnsi="Times New Roman" w:cs="Times New Roman" w:hint="eastAsia"/>
        </w:rPr>
        <w:t>NIRS</w:t>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IMF </w:t>
      </w:r>
      <w:r w:rsidRPr="00167353">
        <w:rPr>
          <w:rFonts w:ascii="Times New Roman" w:eastAsia="楷体" w:hAnsi="Times New Roman" w:cs="Times New Roman" w:hint="eastAsia"/>
        </w:rPr>
        <w:t>以及各国主权养老金年度报告与学术研究的系统文献，为第一支柱养老金的投资策略演进提供结构化综述。</w:t>
      </w:r>
    </w:p>
    <w:p w14:paraId="2DA27A96" w14:textId="1A0F28B0" w:rsidR="008C1EF4" w:rsidRPr="00167353" w:rsidRDefault="00167353" w:rsidP="00195763">
      <w:pPr>
        <w:pStyle w:val="af1"/>
        <w:numPr>
          <w:ilvl w:val="1"/>
          <w:numId w:val="6"/>
        </w:numPr>
        <w:jc w:val="both"/>
        <w:rPr>
          <w:rFonts w:ascii="Times New Roman" w:eastAsia="楷体" w:hAnsi="Times New Roman" w:cs="Times New Roman"/>
          <w:b/>
          <w:bCs/>
        </w:rPr>
      </w:pPr>
      <w:r w:rsidRPr="00167353">
        <w:rPr>
          <w:rFonts w:ascii="Times New Roman" w:eastAsia="楷体" w:hAnsi="Times New Roman" w:cs="Times New Roman"/>
          <w:b/>
          <w:bCs/>
        </w:rPr>
        <w:t>风险资产比重提升与另类资产扩张：长期收益逻辑的制度化</w:t>
      </w:r>
    </w:p>
    <w:p w14:paraId="7AD96D9B" w14:textId="65D523C2"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全球研究均显示，自</w:t>
      </w:r>
      <w:r w:rsidRPr="00167353">
        <w:rPr>
          <w:rFonts w:ascii="Times New Roman" w:eastAsia="楷体" w:hAnsi="Times New Roman" w:cs="Times New Roman" w:hint="eastAsia"/>
        </w:rPr>
        <w:t xml:space="preserve"> 21 </w:t>
      </w:r>
      <w:r w:rsidRPr="00167353">
        <w:rPr>
          <w:rFonts w:ascii="Times New Roman" w:eastAsia="楷体" w:hAnsi="Times New Roman" w:cs="Times New Roman" w:hint="eastAsia"/>
        </w:rPr>
        <w:t>世纪以来，公共养老金投资组合呈现从“债券中心”向“权益—另类驱动”的结构转型。</w:t>
      </w:r>
      <w:r w:rsidRPr="00167353">
        <w:rPr>
          <w:rFonts w:ascii="Times New Roman" w:eastAsia="楷体" w:hAnsi="Times New Roman" w:cs="Times New Roman" w:hint="eastAsia"/>
        </w:rPr>
        <w:t>OECD</w:t>
      </w:r>
      <w:r w:rsidRPr="00167353">
        <w:rPr>
          <w:rFonts w:ascii="Times New Roman" w:eastAsia="楷体" w:hAnsi="Times New Roman" w:cs="Times New Roman" w:hint="eastAsia"/>
        </w:rPr>
        <w:t>《</w:t>
      </w:r>
      <w:r w:rsidRPr="00167353">
        <w:rPr>
          <w:rFonts w:ascii="Times New Roman" w:eastAsia="楷体" w:hAnsi="Times New Roman" w:cs="Times New Roman" w:hint="eastAsia"/>
        </w:rPr>
        <w:t>Pension Markets in Focus 2022</w:t>
      </w:r>
      <w:r w:rsidRPr="00167353">
        <w:rPr>
          <w:rFonts w:ascii="Times New Roman" w:eastAsia="楷体" w:hAnsi="Times New Roman" w:cs="Times New Roman" w:hint="eastAsia"/>
        </w:rPr>
        <w:t>》报告指出，</w:t>
      </w:r>
      <w:r w:rsidRPr="00167353">
        <w:rPr>
          <w:rFonts w:ascii="Times New Roman" w:eastAsia="楷体" w:hAnsi="Times New Roman" w:cs="Times New Roman" w:hint="eastAsia"/>
        </w:rPr>
        <w:t>2000</w:t>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2021 </w:t>
      </w:r>
      <w:r w:rsidRPr="00167353">
        <w:rPr>
          <w:rFonts w:ascii="Times New Roman" w:eastAsia="楷体" w:hAnsi="Times New Roman" w:cs="Times New Roman" w:hint="eastAsia"/>
        </w:rPr>
        <w:t>年间，</w:t>
      </w:r>
      <w:r w:rsidRPr="00167353">
        <w:rPr>
          <w:rFonts w:ascii="Times New Roman" w:eastAsia="楷体" w:hAnsi="Times New Roman" w:cs="Times New Roman" w:hint="eastAsia"/>
        </w:rPr>
        <w:t xml:space="preserve">OECD </w:t>
      </w:r>
      <w:r w:rsidRPr="00167353">
        <w:rPr>
          <w:rFonts w:ascii="Times New Roman" w:eastAsia="楷体" w:hAnsi="Times New Roman" w:cs="Times New Roman" w:hint="eastAsia"/>
        </w:rPr>
        <w:t>国家公共养老金的股票与其他风险资产平均占比从不足</w:t>
      </w:r>
      <w:r w:rsidRPr="00167353">
        <w:rPr>
          <w:rFonts w:ascii="Times New Roman" w:eastAsia="楷体" w:hAnsi="Times New Roman" w:cs="Times New Roman" w:hint="eastAsia"/>
        </w:rPr>
        <w:t xml:space="preserve"> 50% </w:t>
      </w:r>
      <w:r w:rsidRPr="00167353">
        <w:rPr>
          <w:rFonts w:ascii="Times New Roman" w:eastAsia="楷体" w:hAnsi="Times New Roman" w:cs="Times New Roman" w:hint="eastAsia"/>
        </w:rPr>
        <w:t>提升至</w:t>
      </w:r>
      <w:r w:rsidRPr="00167353">
        <w:rPr>
          <w:rFonts w:ascii="Times New Roman" w:eastAsia="楷体" w:hAnsi="Times New Roman" w:cs="Times New Roman" w:hint="eastAsia"/>
        </w:rPr>
        <w:t xml:space="preserve"> 70% </w:t>
      </w:r>
      <w:r w:rsidRPr="00167353">
        <w:rPr>
          <w:rFonts w:ascii="Times New Roman" w:eastAsia="楷体" w:hAnsi="Times New Roman" w:cs="Times New Roman" w:hint="eastAsia"/>
        </w:rPr>
        <w:t>左右，成为长期回报的重要来源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_Ref83539546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r w:rsidR="003E05F2" w:rsidRPr="003E05F2">
        <w:rPr>
          <w:rFonts w:ascii="Times New Roman" w:eastAsia="楷体" w:hAnsi="Times New Roman" w:cs="Times New Roman" w:hint="eastAsia"/>
        </w:rPr>
        <w:t xml:space="preserve">Verbiest </w:t>
      </w:r>
      <w:r w:rsidR="003E05F2" w:rsidRPr="003E05F2">
        <w:rPr>
          <w:rFonts w:ascii="Times New Roman" w:eastAsia="楷体" w:hAnsi="Times New Roman" w:cs="Times New Roman" w:hint="eastAsia"/>
        </w:rPr>
        <w:t>通过资产–负债视角指出，长期养老金组合本质上暴露于风险因子，合理的风险预算与因子配置是长期收益的重要来源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_Ref98994029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[22]</w:t>
      </w:r>
      <w:r w:rsidR="00AF33AC">
        <w:rPr>
          <w:rFonts w:ascii="Times New Roman" w:eastAsia="楷体" w:hAnsi="Times New Roman" w:cs="Times New Roman"/>
        </w:rPr>
        <w:fldChar w:fldCharType="end"/>
      </w:r>
      <w:r w:rsidR="003E05F2" w:rsidRPr="003E05F2">
        <w:rPr>
          <w:rFonts w:ascii="Times New Roman" w:eastAsia="楷体" w:hAnsi="Times New Roman" w:cs="Times New Roman" w:hint="eastAsia"/>
        </w:rPr>
        <w:t>。</w:t>
      </w:r>
      <w:r w:rsidRPr="00167353">
        <w:rPr>
          <w:rFonts w:ascii="Times New Roman" w:eastAsia="楷体" w:hAnsi="Times New Roman" w:cs="Times New Roman" w:hint="eastAsia"/>
        </w:rPr>
        <w:t>这一趋势的核心逻辑在于：第一，长期投资者能够在宽周期维度上捕获风险溢价。</w:t>
      </w:r>
      <w:r w:rsidRPr="00167353">
        <w:rPr>
          <w:rFonts w:ascii="Times New Roman" w:eastAsia="楷体" w:hAnsi="Times New Roman" w:cs="Times New Roman" w:hint="eastAsia"/>
        </w:rPr>
        <w:t xml:space="preserve">Holzmann </w:t>
      </w:r>
      <w:r w:rsidRPr="00167353">
        <w:rPr>
          <w:rFonts w:ascii="Times New Roman" w:eastAsia="楷体" w:hAnsi="Times New Roman" w:cs="Times New Roman" w:hint="eastAsia"/>
        </w:rPr>
        <w:t>与</w:t>
      </w:r>
      <w:r w:rsidRPr="00167353">
        <w:rPr>
          <w:rFonts w:ascii="Times New Roman" w:eastAsia="楷体" w:hAnsi="Times New Roman" w:cs="Times New Roman" w:hint="eastAsia"/>
        </w:rPr>
        <w:t xml:space="preserve"> Hinz </w:t>
      </w:r>
      <w:r w:rsidRPr="00167353">
        <w:rPr>
          <w:rFonts w:ascii="Times New Roman" w:eastAsia="楷体" w:hAnsi="Times New Roman" w:cs="Times New Roman" w:hint="eastAsia"/>
        </w:rPr>
        <w:t>的经典研究指出，在第一支柱长期负债结构下，权益资产相较固定收益更具价值增值潜力，公共养老金需制度化吸纳</w:t>
      </w:r>
      <w:r w:rsidRPr="00167353">
        <w:rPr>
          <w:rFonts w:ascii="Times New Roman" w:eastAsia="楷体" w:hAnsi="Times New Roman" w:cs="Times New Roman" w:hint="eastAsia"/>
        </w:rPr>
        <w:lastRenderedPageBreak/>
        <w:t>风险溢价以维持</w:t>
      </w:r>
      <w:r w:rsidRPr="00167353">
        <w:rPr>
          <w:rFonts w:ascii="Times New Roman" w:eastAsia="楷体" w:hAnsi="Times New Roman" w:cs="Times New Roman" w:hint="eastAsia"/>
        </w:rPr>
        <w:t>actuarial balance</w:t>
      </w:r>
      <w:r w:rsidRPr="00167353">
        <w:rPr>
          <w:rFonts w:ascii="Times New Roman" w:eastAsia="楷体" w:hAnsi="Times New Roman" w:cs="Times New Roman" w:hint="eastAsia"/>
        </w:rPr>
        <w:t>（精算平衡）</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_Ref6629479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[16]</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。第二，低利率环境显著削弱了债券资产对基金支付能力的支持。美国</w:t>
      </w:r>
      <w:r w:rsidRPr="00167353">
        <w:rPr>
          <w:rFonts w:ascii="Times New Roman" w:eastAsia="楷体" w:hAnsi="Times New Roman" w:cs="Times New Roman" w:hint="eastAsia"/>
        </w:rPr>
        <w:t xml:space="preserve"> NIRS </w:t>
      </w:r>
      <w:r w:rsidRPr="00167353">
        <w:rPr>
          <w:rFonts w:ascii="Times New Roman" w:eastAsia="楷体" w:hAnsi="Times New Roman" w:cs="Times New Roman" w:hint="eastAsia"/>
        </w:rPr>
        <w:t>与</w:t>
      </w:r>
      <w:r w:rsidRPr="00167353">
        <w:rPr>
          <w:rFonts w:ascii="Times New Roman" w:eastAsia="楷体" w:hAnsi="Times New Roman" w:cs="Times New Roman" w:hint="eastAsia"/>
        </w:rPr>
        <w:t xml:space="preserve"> Aon </w:t>
      </w:r>
      <w:r w:rsidRPr="00167353">
        <w:rPr>
          <w:rFonts w:ascii="Times New Roman" w:eastAsia="楷体" w:hAnsi="Times New Roman" w:cs="Times New Roman" w:hint="eastAsia"/>
        </w:rPr>
        <w:t>的研究显示，美国公共养老金在</w:t>
      </w:r>
      <w:r w:rsidRPr="00167353">
        <w:rPr>
          <w:rFonts w:ascii="Times New Roman" w:eastAsia="楷体" w:hAnsi="Times New Roman" w:cs="Times New Roman" w:hint="eastAsia"/>
        </w:rPr>
        <w:t xml:space="preserve"> 2001</w:t>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2021 </w:t>
      </w:r>
      <w:r w:rsidRPr="00167353">
        <w:rPr>
          <w:rFonts w:ascii="Times New Roman" w:eastAsia="楷体" w:hAnsi="Times New Roman" w:cs="Times New Roman" w:hint="eastAsia"/>
        </w:rPr>
        <w:t>年间逐步提升股票和另类资产权重，其中另类资产在风险资产中的占比从</w:t>
      </w:r>
      <w:r w:rsidRPr="00167353">
        <w:rPr>
          <w:rFonts w:ascii="Times New Roman" w:eastAsia="楷体" w:hAnsi="Times New Roman" w:cs="Times New Roman" w:hint="eastAsia"/>
        </w:rPr>
        <w:t xml:space="preserve"> 14% </w:t>
      </w:r>
      <w:r w:rsidRPr="00167353">
        <w:rPr>
          <w:rFonts w:ascii="Times New Roman" w:eastAsia="楷体" w:hAnsi="Times New Roman" w:cs="Times New Roman" w:hint="eastAsia"/>
        </w:rPr>
        <w:t>上升至近</w:t>
      </w:r>
      <w:r w:rsidRPr="00167353">
        <w:rPr>
          <w:rFonts w:ascii="Times New Roman" w:eastAsia="楷体" w:hAnsi="Times New Roman" w:cs="Times New Roman" w:hint="eastAsia"/>
        </w:rPr>
        <w:t xml:space="preserve"> 40%</w:t>
      </w:r>
      <w:r w:rsidRPr="00167353">
        <w:rPr>
          <w:rFonts w:ascii="Times New Roman" w:eastAsia="楷体" w:hAnsi="Times New Roman" w:cs="Times New Roman" w:hint="eastAsia"/>
        </w:rPr>
        <w:t>，并成为回报贡献最关键的来源之一</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_Ref80504620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。第三，另类投资的多元化属性获得广泛实证支持。</w:t>
      </w:r>
      <w:proofErr w:type="spellStart"/>
      <w:r w:rsidRPr="00167353">
        <w:rPr>
          <w:rFonts w:ascii="Times New Roman" w:eastAsia="楷体" w:hAnsi="Times New Roman" w:cs="Times New Roman" w:hint="eastAsia"/>
        </w:rPr>
        <w:t>Begenau</w:t>
      </w:r>
      <w:proofErr w:type="spellEnd"/>
      <w:r w:rsidRPr="00167353">
        <w:rPr>
          <w:rFonts w:ascii="Times New Roman" w:eastAsia="楷体" w:hAnsi="Times New Roman" w:cs="Times New Roman" w:hint="eastAsia"/>
        </w:rPr>
        <w:t>、</w:t>
      </w:r>
      <w:r w:rsidRPr="00167353">
        <w:rPr>
          <w:rFonts w:ascii="Times New Roman" w:eastAsia="楷体" w:hAnsi="Times New Roman" w:cs="Times New Roman" w:hint="eastAsia"/>
        </w:rPr>
        <w:t>Liang</w:t>
      </w:r>
      <w:r w:rsidRPr="00167353">
        <w:rPr>
          <w:rFonts w:ascii="Times New Roman" w:eastAsia="楷体" w:hAnsi="Times New Roman" w:cs="Times New Roman" w:hint="eastAsia"/>
        </w:rPr>
        <w:t>与</w:t>
      </w:r>
      <w:proofErr w:type="spellStart"/>
      <w:r w:rsidRPr="00167353">
        <w:rPr>
          <w:rFonts w:ascii="Times New Roman" w:eastAsia="楷体" w:hAnsi="Times New Roman" w:cs="Times New Roman" w:hint="eastAsia"/>
        </w:rPr>
        <w:t>Siriwardane</w:t>
      </w:r>
      <w:proofErr w:type="spellEnd"/>
      <w:r w:rsidRPr="00167353">
        <w:rPr>
          <w:rFonts w:ascii="Times New Roman" w:eastAsia="楷体" w:hAnsi="Times New Roman" w:cs="Times New Roman" w:hint="eastAsia"/>
        </w:rPr>
        <w:t>的研究进一步说明，私募股权、基础设施、房地产等非上市资产能够提供稳定现金流、低相关性与显著的长期</w:t>
      </w:r>
      <w:r w:rsidRPr="00167353">
        <w:rPr>
          <w:rFonts w:ascii="Times New Roman" w:eastAsia="楷体" w:hAnsi="Times New Roman" w:cs="Times New Roman" w:hint="eastAsia"/>
        </w:rPr>
        <w:t>alpha</w:t>
      </w:r>
      <w:r w:rsidRPr="00167353">
        <w:rPr>
          <w:rFonts w:ascii="Times New Roman" w:eastAsia="楷体" w:hAnsi="Times New Roman" w:cs="Times New Roman" w:hint="eastAsia"/>
        </w:rPr>
        <w:t>，是养老金追求长期收益和稳态分散化的关键渠道</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_Ref23473781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Andonov </w:t>
      </w:r>
      <w:r w:rsidRPr="00167353">
        <w:rPr>
          <w:rFonts w:ascii="Times New Roman" w:eastAsia="楷体" w:hAnsi="Times New Roman" w:cs="Times New Roman" w:hint="eastAsia"/>
        </w:rPr>
        <w:t>等人使用全球公共养老金数据验证了这一趋势，指出大型基金通过提高私募股权和基础设施等非上市资产配置，显著改善了其长期风险调整收益</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_Ref38153100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[23]</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。在这一趋势下，挪威政府养老基金全球（</w:t>
      </w:r>
      <w:r w:rsidRPr="00167353">
        <w:rPr>
          <w:rFonts w:ascii="Times New Roman" w:eastAsia="楷体" w:hAnsi="Times New Roman" w:cs="Times New Roman" w:hint="eastAsia"/>
        </w:rPr>
        <w:t>GPFG</w:t>
      </w:r>
      <w:r w:rsidRPr="00167353">
        <w:rPr>
          <w:rFonts w:ascii="Times New Roman" w:eastAsia="楷体" w:hAnsi="Times New Roman" w:cs="Times New Roman" w:hint="eastAsia"/>
        </w:rPr>
        <w:t>）与日本政府养老金投资基金（</w:t>
      </w:r>
      <w:r w:rsidRPr="00167353">
        <w:rPr>
          <w:rFonts w:ascii="Times New Roman" w:eastAsia="楷体" w:hAnsi="Times New Roman" w:cs="Times New Roman" w:hint="eastAsia"/>
        </w:rPr>
        <w:t>GPIF</w:t>
      </w:r>
      <w:r w:rsidRPr="00167353">
        <w:rPr>
          <w:rFonts w:ascii="Times New Roman" w:eastAsia="楷体" w:hAnsi="Times New Roman" w:cs="Times New Roman" w:hint="eastAsia"/>
        </w:rPr>
        <w:t>）成为两个典型案例。挪威</w:t>
      </w:r>
      <w:r w:rsidRPr="00167353">
        <w:rPr>
          <w:rFonts w:ascii="Times New Roman" w:eastAsia="楷体" w:hAnsi="Times New Roman" w:cs="Times New Roman" w:hint="eastAsia"/>
        </w:rPr>
        <w:t xml:space="preserve"> GPFG </w:t>
      </w:r>
      <w:r w:rsidRPr="00167353">
        <w:rPr>
          <w:rFonts w:ascii="Times New Roman" w:eastAsia="楷体" w:hAnsi="Times New Roman" w:cs="Times New Roman" w:hint="eastAsia"/>
        </w:rPr>
        <w:t>从</w:t>
      </w:r>
      <w:r w:rsidRPr="00167353">
        <w:rPr>
          <w:rFonts w:ascii="Times New Roman" w:eastAsia="楷体" w:hAnsi="Times New Roman" w:cs="Times New Roman" w:hint="eastAsia"/>
        </w:rPr>
        <w:t xml:space="preserve"> 1996 </w:t>
      </w:r>
      <w:r w:rsidRPr="00167353">
        <w:rPr>
          <w:rFonts w:ascii="Times New Roman" w:eastAsia="楷体" w:hAnsi="Times New Roman" w:cs="Times New Roman" w:hint="eastAsia"/>
        </w:rPr>
        <w:t>年几乎全部配置债券，到</w:t>
      </w:r>
      <w:r w:rsidRPr="00167353">
        <w:rPr>
          <w:rFonts w:ascii="Times New Roman" w:eastAsia="楷体" w:hAnsi="Times New Roman" w:cs="Times New Roman" w:hint="eastAsia"/>
        </w:rPr>
        <w:t xml:space="preserve"> 2017 </w:t>
      </w:r>
      <w:r w:rsidRPr="00167353">
        <w:rPr>
          <w:rFonts w:ascii="Times New Roman" w:eastAsia="楷体" w:hAnsi="Times New Roman" w:cs="Times New Roman" w:hint="eastAsia"/>
        </w:rPr>
        <w:t>年将权益资产战略权重设定为</w:t>
      </w:r>
      <w:r w:rsidRPr="00167353">
        <w:rPr>
          <w:rFonts w:ascii="Times New Roman" w:eastAsia="楷体" w:hAnsi="Times New Roman" w:cs="Times New Roman" w:hint="eastAsia"/>
        </w:rPr>
        <w:t xml:space="preserve"> 70%</w:t>
      </w:r>
      <w:r w:rsidRPr="00167353">
        <w:rPr>
          <w:rFonts w:ascii="Times New Roman" w:eastAsia="楷体" w:hAnsi="Times New Roman" w:cs="Times New Roman" w:hint="eastAsia"/>
        </w:rPr>
        <w:t>，并在</w:t>
      </w:r>
      <w:r w:rsidRPr="00167353">
        <w:rPr>
          <w:rFonts w:ascii="Times New Roman" w:eastAsia="楷体" w:hAnsi="Times New Roman" w:cs="Times New Roman" w:hint="eastAsia"/>
        </w:rPr>
        <w:t xml:space="preserve"> 2020 </w:t>
      </w:r>
      <w:r w:rsidRPr="00167353">
        <w:rPr>
          <w:rFonts w:ascii="Times New Roman" w:eastAsia="楷体" w:hAnsi="Times New Roman" w:cs="Times New Roman" w:hint="eastAsia"/>
        </w:rPr>
        <w:t>年实现超过</w:t>
      </w:r>
      <w:r w:rsidRPr="00167353">
        <w:rPr>
          <w:rFonts w:ascii="Times New Roman" w:eastAsia="楷体" w:hAnsi="Times New Roman" w:cs="Times New Roman" w:hint="eastAsia"/>
        </w:rPr>
        <w:t xml:space="preserve"> 10% </w:t>
      </w:r>
      <w:r w:rsidRPr="00167353">
        <w:rPr>
          <w:rFonts w:ascii="Times New Roman" w:eastAsia="楷体" w:hAnsi="Times New Roman" w:cs="Times New Roman" w:hint="eastAsia"/>
        </w:rPr>
        <w:t>的收益率</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_Ref88727170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_Ref33428085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r w:rsidR="002C4A71">
        <w:rPr>
          <w:rFonts w:ascii="Times New Roman" w:eastAsia="楷体" w:hAnsi="Times New Roman" w:cs="Times New Roman" w:hint="eastAsia"/>
        </w:rPr>
        <w:t>根据世界银行测算</w:t>
      </w:r>
      <w:r w:rsidRPr="00167353">
        <w:rPr>
          <w:rFonts w:ascii="Times New Roman" w:eastAsia="楷体" w:hAnsi="Times New Roman" w:cs="Times New Roman" w:hint="eastAsia"/>
        </w:rPr>
        <w:t>，</w:t>
      </w:r>
      <w:r w:rsidR="002C4A71" w:rsidRPr="002C4A71">
        <w:rPr>
          <w:rFonts w:ascii="Times New Roman" w:eastAsia="楷体" w:hAnsi="Times New Roman" w:cs="Times New Roman" w:hint="eastAsia"/>
        </w:rPr>
        <w:t>在</w:t>
      </w:r>
      <w:r w:rsidR="002C4A71" w:rsidRPr="002C4A71">
        <w:rPr>
          <w:rFonts w:ascii="Times New Roman" w:eastAsia="楷体" w:hAnsi="Times New Roman" w:cs="Times New Roman" w:hint="eastAsia"/>
        </w:rPr>
        <w:t xml:space="preserve"> 1990 </w:t>
      </w:r>
      <w:r w:rsidR="002C4A71" w:rsidRPr="002C4A71">
        <w:rPr>
          <w:rFonts w:ascii="Times New Roman" w:eastAsia="楷体" w:hAnsi="Times New Roman" w:cs="Times New Roman" w:hint="eastAsia"/>
        </w:rPr>
        <w:t>年代，公共养老金只需承担较低的权益和信用风险，即可实现约</w:t>
      </w:r>
      <w:r w:rsidR="002C4A71" w:rsidRPr="002C4A71">
        <w:rPr>
          <w:rFonts w:ascii="Times New Roman" w:eastAsia="楷体" w:hAnsi="Times New Roman" w:cs="Times New Roman" w:hint="eastAsia"/>
        </w:rPr>
        <w:t xml:space="preserve"> 7% </w:t>
      </w:r>
      <w:r w:rsidR="002C4A71" w:rsidRPr="002C4A71">
        <w:rPr>
          <w:rFonts w:ascii="Times New Roman" w:eastAsia="楷体" w:hAnsi="Times New Roman" w:cs="Times New Roman" w:hint="eastAsia"/>
        </w:rPr>
        <w:t>的名义收益目标</w:t>
      </w:r>
      <w:r w:rsidR="002C4A71">
        <w:rPr>
          <w:rFonts w:ascii="Times New Roman" w:eastAsia="楷体" w:hAnsi="Times New Roman" w:cs="Times New Roman" w:hint="eastAsia"/>
        </w:rPr>
        <w:t>，</w:t>
      </w:r>
      <w:r w:rsidR="002C4A71" w:rsidRPr="002C4A71">
        <w:rPr>
          <w:rFonts w:ascii="Times New Roman" w:eastAsia="楷体" w:hAnsi="Times New Roman" w:cs="Times New Roman" w:hint="eastAsia"/>
        </w:rPr>
        <w:t>但由于利率长期下行、人口老龄化加剧、负债久期延长，</w:t>
      </w:r>
      <w:r w:rsidR="002C4A71">
        <w:rPr>
          <w:rFonts w:ascii="Times New Roman" w:eastAsia="楷体" w:hAnsi="Times New Roman" w:cs="Times New Roman" w:hint="eastAsia"/>
        </w:rPr>
        <w:t>而为了</w:t>
      </w:r>
      <w:r w:rsidRPr="00167353">
        <w:rPr>
          <w:rFonts w:ascii="Times New Roman" w:eastAsia="楷体" w:hAnsi="Times New Roman" w:cs="Times New Roman" w:hint="eastAsia"/>
        </w:rPr>
        <w:t>实现</w:t>
      </w:r>
      <w:r w:rsidR="002C4A71">
        <w:rPr>
          <w:rFonts w:ascii="Times New Roman" w:eastAsia="楷体" w:hAnsi="Times New Roman" w:cs="Times New Roman" w:hint="eastAsia"/>
        </w:rPr>
        <w:t>同样的</w:t>
      </w:r>
      <w:r w:rsidRPr="00167353">
        <w:rPr>
          <w:rFonts w:ascii="Times New Roman" w:eastAsia="楷体" w:hAnsi="Times New Roman" w:cs="Times New Roman" w:hint="eastAsia"/>
        </w:rPr>
        <w:t xml:space="preserve">7% </w:t>
      </w:r>
      <w:r w:rsidRPr="00167353">
        <w:rPr>
          <w:rFonts w:ascii="Times New Roman" w:eastAsia="楷体" w:hAnsi="Times New Roman" w:cs="Times New Roman" w:hint="eastAsia"/>
        </w:rPr>
        <w:t>目标收益，如今的公共养老金需比</w:t>
      </w:r>
      <w:r w:rsidRPr="00167353">
        <w:rPr>
          <w:rFonts w:ascii="Times New Roman" w:eastAsia="楷体" w:hAnsi="Times New Roman" w:cs="Times New Roman" w:hint="eastAsia"/>
        </w:rPr>
        <w:t xml:space="preserve"> 30 </w:t>
      </w:r>
      <w:r w:rsidRPr="00167353">
        <w:rPr>
          <w:rFonts w:ascii="Times New Roman" w:eastAsia="楷体" w:hAnsi="Times New Roman" w:cs="Times New Roman" w:hint="eastAsia"/>
        </w:rPr>
        <w:t>年前承受显著更高的风险暴露</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_Ref28526789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[25]</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。这意味着投资端的制度化风险管理、压力测试与动态再平衡机制在第一支柱体系中愈发关键。</w:t>
      </w:r>
    </w:p>
    <w:p w14:paraId="54308F48" w14:textId="1A126421" w:rsidR="008C1EF4" w:rsidRPr="00167353" w:rsidRDefault="00167353" w:rsidP="00195763">
      <w:pPr>
        <w:pStyle w:val="af1"/>
        <w:numPr>
          <w:ilvl w:val="1"/>
          <w:numId w:val="6"/>
        </w:numPr>
        <w:jc w:val="both"/>
        <w:rPr>
          <w:rFonts w:ascii="Times New Roman" w:eastAsia="楷体" w:hAnsi="Times New Roman" w:cs="Times New Roman"/>
          <w:b/>
          <w:bCs/>
        </w:rPr>
      </w:pPr>
      <w:r w:rsidRPr="00167353">
        <w:rPr>
          <w:rFonts w:ascii="Times New Roman" w:eastAsia="楷体" w:hAnsi="Times New Roman" w:cs="Times New Roman" w:hint="eastAsia"/>
          <w:b/>
          <w:bCs/>
        </w:rPr>
        <w:t>第一支柱养老金全球化投资的扩张逻辑与实践经验</w:t>
      </w:r>
    </w:p>
    <w:p w14:paraId="22426304" w14:textId="159B754C"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公共养老金投资的全球化配置已成为国际上第一支柱养老金投资策略演进的重要方向。随着国内资本市场波动性加大和经济周期同步性上升，单一市场已难以为长期养老金负债提供稳定的风险—收益匹配，因此全球分散化配置逐渐成为主要国家公共养老金的制度化安排。</w:t>
      </w:r>
      <w:r w:rsidRPr="00167353">
        <w:rPr>
          <w:rFonts w:ascii="Times New Roman" w:eastAsia="楷体" w:hAnsi="Times New Roman" w:cs="Times New Roman" w:hint="eastAsia"/>
        </w:rPr>
        <w:t xml:space="preserve">OECD </w:t>
      </w:r>
      <w:r w:rsidRPr="00167353">
        <w:rPr>
          <w:rFonts w:ascii="Times New Roman" w:eastAsia="楷体" w:hAnsi="Times New Roman" w:cs="Times New Roman" w:hint="eastAsia"/>
        </w:rPr>
        <w:t>数据显示，大型公共养老金普遍通过提高境外资产配置比例，以分散本国资本市场的系统性风险并增强长期收益的稳定性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_Ref67744952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。在此趋势下，投资国际化被视为第一支柱养老金管理迈向成熟的重要标志，其理论基础源自经典的国际分散化资产组合理论，以及长期机构投资者对全球增长红利的结构性配置需求。</w:t>
      </w:r>
    </w:p>
    <w:p w14:paraId="2EDFCEFF" w14:textId="18AED417"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从实践层面来看，挪威政府养老金全球基金（</w:t>
      </w:r>
      <w:r w:rsidRPr="00167353">
        <w:rPr>
          <w:rFonts w:ascii="Times New Roman" w:eastAsia="楷体" w:hAnsi="Times New Roman" w:cs="Times New Roman" w:hint="eastAsia"/>
        </w:rPr>
        <w:t>GPFG</w:t>
      </w:r>
      <w:r w:rsidRPr="00167353">
        <w:rPr>
          <w:rFonts w:ascii="Times New Roman" w:eastAsia="楷体" w:hAnsi="Times New Roman" w:cs="Times New Roman" w:hint="eastAsia"/>
        </w:rPr>
        <w:t>）已成为公共养老金投资全球化最具代表性的案例。</w:t>
      </w:r>
      <w:r w:rsidRPr="00167353">
        <w:rPr>
          <w:rFonts w:ascii="Times New Roman" w:eastAsia="楷体" w:hAnsi="Times New Roman" w:cs="Times New Roman" w:hint="eastAsia"/>
        </w:rPr>
        <w:t xml:space="preserve">GPFG </w:t>
      </w:r>
      <w:r w:rsidRPr="00167353">
        <w:rPr>
          <w:rFonts w:ascii="Times New Roman" w:eastAsia="楷体" w:hAnsi="Times New Roman" w:cs="Times New Roman" w:hint="eastAsia"/>
        </w:rPr>
        <w:t>通过制度设计明确禁止投资本国市场，旨在避免基金规模过大对国内资产价格形成扭曲，并最大化全球增长带来的收益机会</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_Ref56412947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[26]</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。截至</w:t>
      </w:r>
      <w:r w:rsidRPr="00167353">
        <w:rPr>
          <w:rFonts w:ascii="Times New Roman" w:eastAsia="楷体" w:hAnsi="Times New Roman" w:cs="Times New Roman" w:hint="eastAsia"/>
        </w:rPr>
        <w:t xml:space="preserve"> 2020 </w:t>
      </w:r>
      <w:r w:rsidRPr="00167353">
        <w:rPr>
          <w:rFonts w:ascii="Times New Roman" w:eastAsia="楷体" w:hAnsi="Times New Roman" w:cs="Times New Roman" w:hint="eastAsia"/>
        </w:rPr>
        <w:t>年底，</w:t>
      </w:r>
      <w:r w:rsidRPr="00167353">
        <w:rPr>
          <w:rFonts w:ascii="Times New Roman" w:eastAsia="楷体" w:hAnsi="Times New Roman" w:cs="Times New Roman" w:hint="eastAsia"/>
        </w:rPr>
        <w:t xml:space="preserve">GPFG </w:t>
      </w:r>
      <w:r w:rsidRPr="00167353">
        <w:rPr>
          <w:rFonts w:ascii="Times New Roman" w:eastAsia="楷体" w:hAnsi="Times New Roman" w:cs="Times New Roman" w:hint="eastAsia"/>
        </w:rPr>
        <w:t>在全球</w:t>
      </w:r>
      <w:r w:rsidRPr="00167353">
        <w:rPr>
          <w:rFonts w:ascii="Times New Roman" w:eastAsia="楷体" w:hAnsi="Times New Roman" w:cs="Times New Roman" w:hint="eastAsia"/>
        </w:rPr>
        <w:t xml:space="preserve"> 70 </w:t>
      </w:r>
      <w:r w:rsidRPr="00167353">
        <w:rPr>
          <w:rFonts w:ascii="Times New Roman" w:eastAsia="楷体" w:hAnsi="Times New Roman" w:cs="Times New Roman" w:hint="eastAsia"/>
        </w:rPr>
        <w:t>余个国家持有约</w:t>
      </w:r>
      <w:r w:rsidRPr="00167353">
        <w:rPr>
          <w:rFonts w:ascii="Times New Roman" w:eastAsia="楷体" w:hAnsi="Times New Roman" w:cs="Times New Roman" w:hint="eastAsia"/>
        </w:rPr>
        <w:t xml:space="preserve"> 9000 </w:t>
      </w:r>
      <w:r w:rsidRPr="00167353">
        <w:rPr>
          <w:rFonts w:ascii="Times New Roman" w:eastAsia="楷体" w:hAnsi="Times New Roman" w:cs="Times New Roman" w:hint="eastAsia"/>
        </w:rPr>
        <w:t>家企业的股票及多层次债券资产，其中北美、欧洲与亚太市场合计占比超过</w:t>
      </w:r>
      <w:r w:rsidRPr="00167353">
        <w:rPr>
          <w:rFonts w:ascii="Times New Roman" w:eastAsia="楷体" w:hAnsi="Times New Roman" w:cs="Times New Roman" w:hint="eastAsia"/>
        </w:rPr>
        <w:t xml:space="preserve"> 80%</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_Ref62094718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[26]</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。这一高度分散化布局有效降低了任何单一市场剧烈波动对基金整体表现的冲击，使其在市场低迷时期仍具备相对更强的稳定性。多项评估报告也指出，</w:t>
      </w:r>
      <w:r w:rsidRPr="00167353">
        <w:rPr>
          <w:rFonts w:ascii="Times New Roman" w:eastAsia="楷体" w:hAnsi="Times New Roman" w:cs="Times New Roman" w:hint="eastAsia"/>
        </w:rPr>
        <w:t xml:space="preserve">GPFG </w:t>
      </w:r>
      <w:r w:rsidRPr="00167353">
        <w:rPr>
          <w:rFonts w:ascii="Times New Roman" w:eastAsia="楷体" w:hAnsi="Times New Roman" w:cs="Times New Roman" w:hint="eastAsia"/>
        </w:rPr>
        <w:t>长期稳定的回报率，很大程度上归功于其全球化配置策略的严格执行</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_Ref15544200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r w:rsidR="003E05F2" w:rsidRPr="003E05F2">
        <w:rPr>
          <w:rFonts w:ascii="Times New Roman" w:eastAsia="楷体" w:hAnsi="Times New Roman" w:cs="Times New Roman" w:hint="eastAsia"/>
        </w:rPr>
        <w:t>国内相关研究也从治理结构、资产组合和长期战略角度总结了</w:t>
      </w:r>
      <w:r w:rsidR="003E05F2" w:rsidRPr="003E05F2">
        <w:rPr>
          <w:rFonts w:ascii="Times New Roman" w:eastAsia="楷体" w:hAnsi="Times New Roman" w:cs="Times New Roman" w:hint="eastAsia"/>
        </w:rPr>
        <w:t xml:space="preserve"> GPFG </w:t>
      </w:r>
      <w:r w:rsidR="003E05F2" w:rsidRPr="003E05F2">
        <w:rPr>
          <w:rFonts w:ascii="Times New Roman" w:eastAsia="楷体" w:hAnsi="Times New Roman" w:cs="Times New Roman" w:hint="eastAsia"/>
        </w:rPr>
        <w:t>的经验，并指出其制度化流程是高收益的重要来源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_Ref6028104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[27]</w:t>
      </w:r>
      <w:r w:rsidR="00AF33AC">
        <w:rPr>
          <w:rFonts w:ascii="Times New Roman" w:eastAsia="楷体" w:hAnsi="Times New Roman" w:cs="Times New Roman"/>
        </w:rPr>
        <w:fldChar w:fldCharType="end"/>
      </w:r>
      <w:r w:rsidR="003E05F2" w:rsidRPr="003E05F2">
        <w:rPr>
          <w:rFonts w:ascii="Times New Roman" w:eastAsia="楷体" w:hAnsi="Times New Roman" w:cs="Times New Roman" w:hint="eastAsia"/>
        </w:rPr>
        <w:t>。</w:t>
      </w:r>
    </w:p>
    <w:p w14:paraId="494585BD" w14:textId="5860597F"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学界亦普遍关注公共养老金全球投资与收益表现的关系。</w:t>
      </w:r>
      <w:proofErr w:type="spellStart"/>
      <w:r w:rsidRPr="00167353">
        <w:rPr>
          <w:rFonts w:ascii="Times New Roman" w:eastAsia="楷体" w:hAnsi="Times New Roman" w:cs="Times New Roman" w:hint="eastAsia"/>
        </w:rPr>
        <w:t>Begenau</w:t>
      </w:r>
      <w:proofErr w:type="spellEnd"/>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Liang </w:t>
      </w:r>
      <w:r w:rsidRPr="00167353">
        <w:rPr>
          <w:rFonts w:ascii="Times New Roman" w:eastAsia="楷体" w:hAnsi="Times New Roman" w:cs="Times New Roman" w:hint="eastAsia"/>
        </w:rPr>
        <w:t>与</w:t>
      </w:r>
      <w:r w:rsidRPr="00167353">
        <w:rPr>
          <w:rFonts w:ascii="Times New Roman" w:eastAsia="楷体" w:hAnsi="Times New Roman" w:cs="Times New Roman" w:hint="eastAsia"/>
        </w:rPr>
        <w:t xml:space="preserve"> </w:t>
      </w:r>
      <w:proofErr w:type="spellStart"/>
      <w:r w:rsidRPr="00167353">
        <w:rPr>
          <w:rFonts w:ascii="Times New Roman" w:eastAsia="楷体" w:hAnsi="Times New Roman" w:cs="Times New Roman" w:hint="eastAsia"/>
        </w:rPr>
        <w:t>Siriwardane</w:t>
      </w:r>
      <w:proofErr w:type="spellEnd"/>
      <w:r w:rsidRPr="00167353">
        <w:rPr>
          <w:rFonts w:ascii="Times New Roman" w:eastAsia="楷体" w:hAnsi="Times New Roman" w:cs="Times New Roman" w:hint="eastAsia"/>
        </w:rPr>
        <w:t xml:space="preserve"> </w:t>
      </w:r>
      <w:r w:rsidRPr="00167353">
        <w:rPr>
          <w:rFonts w:ascii="Times New Roman" w:eastAsia="楷体" w:hAnsi="Times New Roman" w:cs="Times New Roman" w:hint="eastAsia"/>
        </w:rPr>
        <w:t>的研究显示，在全球资产配置中增加对发达经济体股票、企业债以及</w:t>
      </w:r>
      <w:r w:rsidRPr="00167353">
        <w:rPr>
          <w:rFonts w:ascii="Times New Roman" w:eastAsia="楷体" w:hAnsi="Times New Roman" w:cs="Times New Roman" w:hint="eastAsia"/>
        </w:rPr>
        <w:lastRenderedPageBreak/>
        <w:t>另类资产（包括海外房地产和基础设施）的投资，有助于提升养老金组合的风险调整后收益水平</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_Ref34723622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。这种跨国布局不仅捕捉了全球资产的长期增长，还通过地域和行业分散显著降低组合波动性。例如，研究指出，即使在</w:t>
      </w:r>
      <w:r w:rsidRPr="00167353">
        <w:rPr>
          <w:rFonts w:ascii="Times New Roman" w:eastAsia="楷体" w:hAnsi="Times New Roman" w:cs="Times New Roman" w:hint="eastAsia"/>
        </w:rPr>
        <w:t xml:space="preserve"> 2008 </w:t>
      </w:r>
      <w:r w:rsidRPr="00167353">
        <w:rPr>
          <w:rFonts w:ascii="Times New Roman" w:eastAsia="楷体" w:hAnsi="Times New Roman" w:cs="Times New Roman" w:hint="eastAsia"/>
        </w:rPr>
        <w:t>年国际金融危机期间，全球化配置较高的养老金基金其净值波动幅度也显著低于重度依赖本国资产的基金</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_Ref43300390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。这说明公共养老金的投资全球化已从经验性选择上升为一种经验证的投资理念。</w:t>
      </w:r>
    </w:p>
    <w:p w14:paraId="29A2FD59" w14:textId="7CC14719"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日本政府养老金投资基金（</w:t>
      </w:r>
      <w:r w:rsidRPr="00167353">
        <w:rPr>
          <w:rFonts w:ascii="Times New Roman" w:eastAsia="楷体" w:hAnsi="Times New Roman" w:cs="Times New Roman" w:hint="eastAsia"/>
        </w:rPr>
        <w:t>GPIF</w:t>
      </w:r>
      <w:r w:rsidRPr="00167353">
        <w:rPr>
          <w:rFonts w:ascii="Times New Roman" w:eastAsia="楷体" w:hAnsi="Times New Roman" w:cs="Times New Roman" w:hint="eastAsia"/>
        </w:rPr>
        <w:t>）的战略调整也为公共养老金投资国际化提供了典型参照。</w:t>
      </w:r>
      <w:r w:rsidRPr="00167353">
        <w:rPr>
          <w:rFonts w:ascii="Times New Roman" w:eastAsia="楷体" w:hAnsi="Times New Roman" w:cs="Times New Roman" w:hint="eastAsia"/>
        </w:rPr>
        <w:t xml:space="preserve">GPIF </w:t>
      </w:r>
      <w:r w:rsidRPr="00167353">
        <w:rPr>
          <w:rFonts w:ascii="Times New Roman" w:eastAsia="楷体" w:hAnsi="Times New Roman" w:cs="Times New Roman" w:hint="eastAsia"/>
        </w:rPr>
        <w:t>在</w:t>
      </w:r>
      <w:r w:rsidRPr="00167353">
        <w:rPr>
          <w:rFonts w:ascii="Times New Roman" w:eastAsia="楷体" w:hAnsi="Times New Roman" w:cs="Times New Roman" w:hint="eastAsia"/>
        </w:rPr>
        <w:t xml:space="preserve"> 2014 </w:t>
      </w:r>
      <w:r w:rsidRPr="00167353">
        <w:rPr>
          <w:rFonts w:ascii="Times New Roman" w:eastAsia="楷体" w:hAnsi="Times New Roman" w:cs="Times New Roman" w:hint="eastAsia"/>
        </w:rPr>
        <w:t>年改革后系统性提高海外股票配置，使权益类资产的增长更加依赖全球经济表现，其长期收益显著改善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_Ref94847149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[28]</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2020 </w:t>
      </w:r>
      <w:r w:rsidRPr="00167353">
        <w:rPr>
          <w:rFonts w:ascii="Times New Roman" w:eastAsia="楷体" w:hAnsi="Times New Roman" w:cs="Times New Roman" w:hint="eastAsia"/>
        </w:rPr>
        <w:t>财年</w:t>
      </w:r>
      <w:r w:rsidRPr="00167353">
        <w:rPr>
          <w:rFonts w:ascii="Times New Roman" w:eastAsia="楷体" w:hAnsi="Times New Roman" w:cs="Times New Roman" w:hint="eastAsia"/>
        </w:rPr>
        <w:t xml:space="preserve"> GPIF </w:t>
      </w:r>
      <w:r w:rsidRPr="00167353">
        <w:rPr>
          <w:rFonts w:ascii="Times New Roman" w:eastAsia="楷体" w:hAnsi="Times New Roman" w:cs="Times New Roman" w:hint="eastAsia"/>
        </w:rPr>
        <w:t>全球股票组合收益率超过</w:t>
      </w:r>
      <w:r w:rsidRPr="00167353">
        <w:rPr>
          <w:rFonts w:ascii="Times New Roman" w:eastAsia="楷体" w:hAnsi="Times New Roman" w:cs="Times New Roman" w:hint="eastAsia"/>
        </w:rPr>
        <w:t xml:space="preserve"> 25%</w:t>
      </w:r>
      <w:r w:rsidRPr="00167353">
        <w:rPr>
          <w:rFonts w:ascii="Times New Roman" w:eastAsia="楷体" w:hAnsi="Times New Roman" w:cs="Times New Roman" w:hint="eastAsia"/>
        </w:rPr>
        <w:t>，这一表现主要得益于其大规模持有全球主要发达经济体的股票资产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_Ref78243530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[28]</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。另一方面，</w:t>
      </w:r>
      <w:r w:rsidRPr="00167353">
        <w:rPr>
          <w:rFonts w:ascii="Times New Roman" w:eastAsia="楷体" w:hAnsi="Times New Roman" w:cs="Times New Roman" w:hint="eastAsia"/>
        </w:rPr>
        <w:t xml:space="preserve">GPIF </w:t>
      </w:r>
      <w:r w:rsidRPr="00167353">
        <w:rPr>
          <w:rFonts w:ascii="Times New Roman" w:eastAsia="楷体" w:hAnsi="Times New Roman" w:cs="Times New Roman" w:hint="eastAsia"/>
        </w:rPr>
        <w:t>近年来增配海外不动产、基础设施与全球私募股权，以强化跨市场分散化和长期收益基础，这也与国际养老金投资趋势高度一致</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_Ref46749455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[28]</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。此类跨境配置实践说明，当国内资本市场规模与深度无法单独支撑养老金对长期收益和抗风险能力的需求时，引入全球资产成为不可或缺的制度化安排。</w:t>
      </w:r>
    </w:p>
    <w:p w14:paraId="1E02CF79" w14:textId="236B749A"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从区域经验来看，加拿大、荷兰等国的大型公共养老金则通过“全球主动投资</w:t>
      </w:r>
      <w:r w:rsidRPr="00167353">
        <w:rPr>
          <w:rFonts w:ascii="Times New Roman" w:eastAsia="楷体" w:hAnsi="Times New Roman" w:cs="Times New Roman" w:hint="eastAsia"/>
        </w:rPr>
        <w:t xml:space="preserve"> + </w:t>
      </w:r>
      <w:r w:rsidRPr="00167353">
        <w:rPr>
          <w:rFonts w:ascii="Times New Roman" w:eastAsia="楷体" w:hAnsi="Times New Roman" w:cs="Times New Roman" w:hint="eastAsia"/>
        </w:rPr>
        <w:t>多策略管理”实现更强的国际化能力。</w:t>
      </w:r>
      <w:r w:rsidRPr="00167353">
        <w:rPr>
          <w:rFonts w:ascii="Times New Roman" w:eastAsia="楷体" w:hAnsi="Times New Roman" w:cs="Times New Roman" w:hint="eastAsia"/>
        </w:rPr>
        <w:t xml:space="preserve">Mercer </w:t>
      </w:r>
      <w:r w:rsidRPr="00167353">
        <w:rPr>
          <w:rFonts w:ascii="Times New Roman" w:eastAsia="楷体" w:hAnsi="Times New Roman" w:cs="Times New Roman" w:hint="eastAsia"/>
        </w:rPr>
        <w:t>和</w:t>
      </w:r>
      <w:r w:rsidRPr="00167353">
        <w:rPr>
          <w:rFonts w:ascii="Times New Roman" w:eastAsia="楷体" w:hAnsi="Times New Roman" w:cs="Times New Roman" w:hint="eastAsia"/>
        </w:rPr>
        <w:t xml:space="preserve"> CFA Institute </w:t>
      </w:r>
      <w:r w:rsidRPr="00167353">
        <w:rPr>
          <w:rFonts w:ascii="Times New Roman" w:eastAsia="楷体" w:hAnsi="Times New Roman" w:cs="Times New Roman" w:hint="eastAsia"/>
        </w:rPr>
        <w:t>的比较报告指出，加拿大养老金的境外投资占比长期保持在</w:t>
      </w:r>
      <w:r w:rsidRPr="00167353">
        <w:rPr>
          <w:rFonts w:ascii="Times New Roman" w:eastAsia="楷体" w:hAnsi="Times New Roman" w:cs="Times New Roman" w:hint="eastAsia"/>
        </w:rPr>
        <w:t xml:space="preserve"> 40%</w:t>
      </w:r>
      <w:r w:rsidRPr="00167353">
        <w:rPr>
          <w:rFonts w:ascii="Times New Roman" w:eastAsia="楷体" w:hAnsi="Times New Roman" w:cs="Times New Roman" w:hint="eastAsia"/>
        </w:rPr>
        <w:t>–</w:t>
      </w:r>
      <w:r w:rsidRPr="00167353">
        <w:rPr>
          <w:rFonts w:ascii="Times New Roman" w:eastAsia="楷体" w:hAnsi="Times New Roman" w:cs="Times New Roman" w:hint="eastAsia"/>
        </w:rPr>
        <w:t xml:space="preserve">60% </w:t>
      </w:r>
      <w:r w:rsidRPr="00167353">
        <w:rPr>
          <w:rFonts w:ascii="Times New Roman" w:eastAsia="楷体" w:hAnsi="Times New Roman" w:cs="Times New Roman" w:hint="eastAsia"/>
        </w:rPr>
        <w:t>区间，并大量采用内部化主动管理模式，在控制管理费用的同时提高了跨市场投资的专业化程度</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_Ref23874807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[29]</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_Ref67795080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[30]</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。这种以全球资产配置为核心的投资体系，使其在国际养老金体系评估中长期排名领先，成为公共养老金投资制度成熟度的重要指标</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_Ref91912812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[29]</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。研究也显示，公共养老金的投资国际化程度与其长期净回报率存在显著正相关关系，尤其是在低利率环境下，全球配置对收益稳定性的贡献更加突出</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_Ref85371721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[30]</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p>
    <w:p w14:paraId="1CB15F1A" w14:textId="569A3F1B" w:rsidR="00167353" w:rsidRPr="0016735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对于新兴经济体而言，公共养老金的全球化配置仍在逐步推进。例如，我国全国社会保障基金成立初期境外投资比例上限为</w:t>
      </w:r>
      <w:r w:rsidRPr="00167353">
        <w:rPr>
          <w:rFonts w:ascii="Times New Roman" w:eastAsia="楷体" w:hAnsi="Times New Roman" w:cs="Times New Roman" w:hint="eastAsia"/>
        </w:rPr>
        <w:t xml:space="preserve"> 20%</w:t>
      </w:r>
      <w:r w:rsidRPr="00167353">
        <w:rPr>
          <w:rFonts w:ascii="Times New Roman" w:eastAsia="楷体" w:hAnsi="Times New Roman" w:cs="Times New Roman" w:hint="eastAsia"/>
        </w:rPr>
        <w:t>，近年来在全球股权、债券、股权基金等领域的配置不断增加，以捕捉跨市场收益机会并改善投资组合结构。这与</w:t>
      </w:r>
      <w:r w:rsidRPr="00167353">
        <w:rPr>
          <w:rFonts w:ascii="Times New Roman" w:eastAsia="楷体" w:hAnsi="Times New Roman" w:cs="Times New Roman" w:hint="eastAsia"/>
        </w:rPr>
        <w:t xml:space="preserve"> OECD </w:t>
      </w:r>
      <w:r w:rsidRPr="00167353">
        <w:rPr>
          <w:rFonts w:ascii="Times New Roman" w:eastAsia="楷体" w:hAnsi="Times New Roman" w:cs="Times New Roman" w:hint="eastAsia"/>
        </w:rPr>
        <w:t>对新兴国家公共养老金投资改革的总体判断相吻合，即扩大国际投资范围是提高第一支柱长期可持续性的关键途径之一</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_Ref40055490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。此外，中国的养老金投资机构也逐步采用国际主权基金和公共养老金的投资框架，包括目标收益率管理、多资产全球配置以及对长期非上市资产的适度配置，以缓解国内市场波动对基金长期稳定性的影响</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_Ref77055222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Pr="00167353">
        <w:rPr>
          <w:rFonts w:ascii="Times New Roman" w:eastAsia="楷体" w:hAnsi="Times New Roman" w:cs="Times New Roman" w:hint="eastAsia"/>
        </w:rPr>
        <w:t>。</w:t>
      </w:r>
    </w:p>
    <w:p w14:paraId="65F58EFA" w14:textId="5B9A31CC" w:rsidR="008C1EF4" w:rsidRPr="007D4673" w:rsidRDefault="00167353" w:rsidP="00167353">
      <w:pPr>
        <w:pStyle w:val="af1"/>
        <w:jc w:val="both"/>
        <w:rPr>
          <w:rFonts w:ascii="Times New Roman" w:eastAsia="楷体" w:hAnsi="Times New Roman" w:cs="Times New Roman"/>
        </w:rPr>
      </w:pPr>
      <w:r w:rsidRPr="00167353">
        <w:rPr>
          <w:rFonts w:ascii="Times New Roman" w:eastAsia="楷体" w:hAnsi="Times New Roman" w:cs="Times New Roman" w:hint="eastAsia"/>
        </w:rPr>
        <w:t>综上，公共养老金投资全球化已成为第一支柱养老金资产配置体系中不可或缺的核心组成部分。成熟养老金体系普遍通过提高境外投资比例、扩展全球资产范围以及强化内部专业化管理来提升长期收益并增强制度韧性。从长期视角看，全球化配置不仅能够捕捉全球经济增长带来的超额回报，还能在跨周期视角下对冲本国人口老龄化和经济波动带来的系统性不确定性，从而为第一支柱养老金提供更加稳健的资产支持基础。</w:t>
      </w:r>
    </w:p>
    <w:p w14:paraId="187AF426" w14:textId="77777777" w:rsidR="008C1EF4" w:rsidRPr="001D0F3A" w:rsidRDefault="008C1EF4" w:rsidP="00195763">
      <w:pPr>
        <w:pStyle w:val="af1"/>
        <w:numPr>
          <w:ilvl w:val="0"/>
          <w:numId w:val="6"/>
        </w:numPr>
        <w:jc w:val="both"/>
        <w:rPr>
          <w:rFonts w:ascii="Times New Roman" w:eastAsia="楷体" w:hAnsi="Times New Roman" w:cs="Times New Roman"/>
          <w:b/>
          <w:bCs/>
          <w:sz w:val="28"/>
          <w:szCs w:val="28"/>
        </w:rPr>
      </w:pPr>
      <w:r w:rsidRPr="001D0F3A">
        <w:rPr>
          <w:rFonts w:ascii="Times New Roman" w:eastAsia="楷体" w:hAnsi="Times New Roman" w:cs="Times New Roman"/>
          <w:b/>
          <w:bCs/>
          <w:sz w:val="28"/>
          <w:szCs w:val="28"/>
        </w:rPr>
        <w:lastRenderedPageBreak/>
        <w:t>风险管理：养老金风险控制与监管</w:t>
      </w:r>
    </w:p>
    <w:p w14:paraId="3FF51BCA" w14:textId="2107926F" w:rsidR="008C1EF4" w:rsidRPr="007D4673" w:rsidRDefault="00F70325" w:rsidP="00195763">
      <w:pPr>
        <w:pStyle w:val="af1"/>
        <w:jc w:val="both"/>
        <w:rPr>
          <w:rFonts w:ascii="Times New Roman" w:eastAsia="楷体" w:hAnsi="Times New Roman" w:cs="Times New Roman"/>
        </w:rPr>
      </w:pPr>
      <w:r w:rsidRPr="00F70325">
        <w:rPr>
          <w:rFonts w:ascii="Times New Roman" w:eastAsia="楷体" w:hAnsi="Times New Roman" w:cs="Times New Roman" w:hint="eastAsia"/>
        </w:rPr>
        <w:t>第一支柱基本养老保险承担长期而刚性的支付责任，因此其投资运作必须以稳健和风险可控为前提。随着我国基本养老基金逐步开展市场化投资，风险管理的重要性愈发凸显。已有研究在人口老龄化背景下，从养老金融风险识别、防范与治理的全链条视角系统梳理了我国养老金制度面临的主要风险点及政策应对路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_Ref40211684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[31]</w:t>
      </w:r>
      <w:r w:rsidR="00AF33AC">
        <w:rPr>
          <w:rFonts w:ascii="Times New Roman" w:eastAsia="楷体" w:hAnsi="Times New Roman" w:cs="Times New Roman"/>
        </w:rPr>
        <w:fldChar w:fldCharType="end"/>
      </w:r>
      <w:r w:rsidRPr="00F70325">
        <w:rPr>
          <w:rFonts w:ascii="Times New Roman" w:eastAsia="楷体" w:hAnsi="Times New Roman" w:cs="Times New Roman" w:hint="eastAsia"/>
        </w:rPr>
        <w:t>。现有文献普遍认为，一个成熟的第一支柱养老基金风险管理体系应同时包含：内部风险控制流程（包括资产配置约束、再平衡机制、压力测试、衍生品对冲等）以及外部监管框架（包括受托人责任、信息披露与审慎监管原则）。基于国际经验与我国监管实践，可从以下两个方面展开学术综述。</w:t>
      </w:r>
    </w:p>
    <w:p w14:paraId="3937E0E3" w14:textId="0F4D53D7" w:rsidR="008C1EF4" w:rsidRPr="001D0F3A" w:rsidRDefault="001D0F3A" w:rsidP="00195763">
      <w:pPr>
        <w:pStyle w:val="af1"/>
        <w:numPr>
          <w:ilvl w:val="1"/>
          <w:numId w:val="6"/>
        </w:numPr>
        <w:jc w:val="both"/>
        <w:rPr>
          <w:rFonts w:ascii="Times New Roman" w:eastAsia="楷体" w:hAnsi="Times New Roman" w:cs="Times New Roman"/>
          <w:b/>
          <w:bCs/>
        </w:rPr>
      </w:pPr>
      <w:r w:rsidRPr="001D0F3A">
        <w:rPr>
          <w:rFonts w:ascii="Times New Roman" w:eastAsia="楷体" w:hAnsi="Times New Roman" w:cs="Times New Roman"/>
          <w:b/>
          <w:bCs/>
        </w:rPr>
        <w:t>第一支柱养老金的风险管理实践</w:t>
      </w:r>
    </w:p>
    <w:p w14:paraId="156646CB" w14:textId="69B55804" w:rsidR="001D0F3A" w:rsidRPr="001D0F3A"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大型公共养老金基金多通过制度化的风险管理框架来平衡长期收益目标与资产安全要求。</w:t>
      </w:r>
      <w:r w:rsidR="00C41A78" w:rsidRPr="00C41A78">
        <w:rPr>
          <w:rFonts w:ascii="Times New Roman" w:eastAsia="楷体" w:hAnsi="Times New Roman" w:cs="Times New Roman" w:hint="eastAsia"/>
        </w:rPr>
        <w:t>Alonso-Garc</w:t>
      </w:r>
      <w:r w:rsidR="00C41A78">
        <w:rPr>
          <w:rFonts w:ascii="Times New Roman" w:eastAsia="楷体" w:hAnsi="Times New Roman" w:cs="Times New Roman"/>
        </w:rPr>
        <w:t>i</w:t>
      </w:r>
      <w:r w:rsidR="00C41A78" w:rsidRPr="00C41A78">
        <w:rPr>
          <w:rFonts w:ascii="Times New Roman" w:eastAsia="楷体" w:hAnsi="Times New Roman" w:cs="Times New Roman" w:hint="eastAsia"/>
        </w:rPr>
        <w:t xml:space="preserve">a </w:t>
      </w:r>
      <w:r w:rsidR="00C41A78" w:rsidRPr="00C41A78">
        <w:rPr>
          <w:rFonts w:ascii="Times New Roman" w:eastAsia="楷体" w:hAnsi="Times New Roman" w:cs="Times New Roman" w:hint="eastAsia"/>
        </w:rPr>
        <w:t>等基于精算和金融风险度量框架构建了公共养老金组合的系统性风险指标</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_Ref75105858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[32]</w:t>
      </w:r>
      <w:r w:rsidR="00AF33AC">
        <w:rPr>
          <w:rFonts w:ascii="Times New Roman" w:eastAsia="楷体" w:hAnsi="Times New Roman" w:cs="Times New Roman"/>
        </w:rPr>
        <w:fldChar w:fldCharType="end"/>
      </w:r>
      <w:r w:rsidR="00C41A78" w:rsidRPr="00C41A78">
        <w:rPr>
          <w:rFonts w:ascii="Times New Roman" w:eastAsia="楷体" w:hAnsi="Times New Roman" w:cs="Times New Roman" w:hint="eastAsia"/>
        </w:rPr>
        <w:t>。</w:t>
      </w:r>
      <w:r w:rsidR="003E05F2" w:rsidRPr="003E05F2">
        <w:rPr>
          <w:rFonts w:ascii="Times New Roman" w:eastAsia="楷体" w:hAnsi="Times New Roman" w:cs="Times New Roman" w:hint="eastAsia"/>
        </w:rPr>
        <w:t xml:space="preserve">Verbiest </w:t>
      </w:r>
      <w:r w:rsidR="003E05F2" w:rsidRPr="003E05F2">
        <w:rPr>
          <w:rFonts w:ascii="Times New Roman" w:eastAsia="楷体" w:hAnsi="Times New Roman" w:cs="Times New Roman" w:hint="eastAsia"/>
        </w:rPr>
        <w:t>通过资产–负债视角指出，长期养老金组合本质上暴露于风险因子，合理的风险预算与因子配置是长期收益的重要来源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_Ref9757358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[22]</w:t>
      </w:r>
      <w:r w:rsidR="00AF33AC">
        <w:rPr>
          <w:rFonts w:ascii="Times New Roman" w:eastAsia="楷体" w:hAnsi="Times New Roman" w:cs="Times New Roman"/>
        </w:rPr>
        <w:fldChar w:fldCharType="end"/>
      </w:r>
      <w:r w:rsidR="003E05F2" w:rsidRPr="003E05F2">
        <w:rPr>
          <w:rFonts w:ascii="Times New Roman" w:eastAsia="楷体" w:hAnsi="Times New Roman" w:cs="Times New Roman" w:hint="eastAsia"/>
        </w:rPr>
        <w:t>。</w:t>
      </w:r>
      <w:r w:rsidRPr="001D0F3A">
        <w:rPr>
          <w:rFonts w:ascii="Times New Roman" w:eastAsia="楷体" w:hAnsi="Times New Roman" w:cs="Times New Roman" w:hint="eastAsia"/>
        </w:rPr>
        <w:t>经典研究指出，“审慎人原则”（</w:t>
      </w:r>
      <w:r w:rsidRPr="001D0F3A">
        <w:rPr>
          <w:rFonts w:ascii="Times New Roman" w:eastAsia="楷体" w:hAnsi="Times New Roman" w:cs="Times New Roman" w:hint="eastAsia"/>
        </w:rPr>
        <w:t>Prudent Person Rule</w:t>
      </w:r>
      <w:r w:rsidRPr="001D0F3A">
        <w:rPr>
          <w:rFonts w:ascii="Times New Roman" w:eastAsia="楷体" w:hAnsi="Times New Roman" w:cs="Times New Roman" w:hint="eastAsia"/>
        </w:rPr>
        <w:t>）是国际养老金风险管理的核心理念，即受托人必须以专业审慎的方式降低资产组合的系统性与非系统性风险</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_Ref70423335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[33]</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。在这一原则之下，公共养老金普遍构建了覆盖战略资产配置、投资执行和绩效评估的全流程风险控制体系</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_Ref7932651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[34]</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p>
    <w:p w14:paraId="4851444C" w14:textId="53BF70FD" w:rsidR="001D0F3A" w:rsidRPr="001D0F3A" w:rsidRDefault="00C41A78" w:rsidP="001D0F3A">
      <w:pPr>
        <w:pStyle w:val="af1"/>
        <w:jc w:val="both"/>
        <w:rPr>
          <w:rFonts w:ascii="Times New Roman" w:eastAsia="楷体" w:hAnsi="Times New Roman" w:cs="Times New Roman"/>
        </w:rPr>
      </w:pPr>
      <w:r w:rsidRPr="00C41A78">
        <w:rPr>
          <w:rFonts w:ascii="Times New Roman" w:eastAsia="楷体" w:hAnsi="Times New Roman" w:cs="Times New Roman" w:hint="eastAsia"/>
        </w:rPr>
        <w:t>早期研究已指出，养老金治理结构会直接影响风险承担和投资绩效，因此风险管理必须与治理改革同步推进</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_Ref55171025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[35]</w:t>
      </w:r>
      <w:r w:rsidR="00AF33AC">
        <w:rPr>
          <w:rFonts w:ascii="Times New Roman" w:eastAsia="楷体" w:hAnsi="Times New Roman" w:cs="Times New Roman"/>
        </w:rPr>
        <w:fldChar w:fldCharType="end"/>
      </w:r>
      <w:r w:rsidR="00AF33AC">
        <w:rPr>
          <w:rFonts w:ascii="Times New Roman" w:eastAsia="楷体" w:hAnsi="Times New Roman" w:cs="Times New Roman" w:hint="eastAsia"/>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_Ref4255849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[36]</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_Ref27141452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[37]</w:t>
      </w:r>
      <w:r w:rsidR="00AF33AC">
        <w:rPr>
          <w:rFonts w:ascii="Times New Roman" w:eastAsia="楷体" w:hAnsi="Times New Roman" w:cs="Times New Roman"/>
        </w:rPr>
        <w:fldChar w:fldCharType="end"/>
      </w:r>
      <w:r w:rsidRPr="00C41A78">
        <w:rPr>
          <w:rFonts w:ascii="Times New Roman" w:eastAsia="楷体" w:hAnsi="Times New Roman" w:cs="Times New Roman" w:hint="eastAsia"/>
        </w:rPr>
        <w:t>。</w:t>
      </w:r>
      <w:r w:rsidR="001D0F3A" w:rsidRPr="001D0F3A">
        <w:rPr>
          <w:rFonts w:ascii="Times New Roman" w:eastAsia="楷体" w:hAnsi="Times New Roman" w:cs="Times New Roman" w:hint="eastAsia"/>
        </w:rPr>
        <w:t>国际经验显示，战略资产配置（</w:t>
      </w:r>
      <w:r w:rsidR="001D0F3A" w:rsidRPr="001D0F3A">
        <w:rPr>
          <w:rFonts w:ascii="Times New Roman" w:eastAsia="楷体" w:hAnsi="Times New Roman" w:cs="Times New Roman" w:hint="eastAsia"/>
        </w:rPr>
        <w:t>SAA</w:t>
      </w:r>
      <w:r w:rsidR="001D0F3A" w:rsidRPr="001D0F3A">
        <w:rPr>
          <w:rFonts w:ascii="Times New Roman" w:eastAsia="楷体" w:hAnsi="Times New Roman" w:cs="Times New Roman" w:hint="eastAsia"/>
        </w:rPr>
        <w:t>）是养老金风险管理的关键起点。例如，挪威政府全球养老基金（</w:t>
      </w:r>
      <w:r w:rsidR="001D0F3A" w:rsidRPr="001D0F3A">
        <w:rPr>
          <w:rFonts w:ascii="Times New Roman" w:eastAsia="楷体" w:hAnsi="Times New Roman" w:cs="Times New Roman" w:hint="eastAsia"/>
        </w:rPr>
        <w:t>GPFG</w:t>
      </w:r>
      <w:r w:rsidR="001D0F3A" w:rsidRPr="001D0F3A">
        <w:rPr>
          <w:rFonts w:ascii="Times New Roman" w:eastAsia="楷体" w:hAnsi="Times New Roman" w:cs="Times New Roman" w:hint="eastAsia"/>
        </w:rPr>
        <w:t>）在制度设计中明确了严格的资产配置区间，将权益资产的战略权重设定为长期目标，并通过每季度的“纪律性再平衡机制”来校正因市场波动导致的仓位偏离</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_Ref23967928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。相关文献指出，这种自动化再平衡策略不仅能够防止资产组合在牛市中“过度激进”，还能够在市场下跌时推动基金逢低买入，从而提高长期风险调整后收益</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_Ref99741971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_Ref84780473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。在</w:t>
      </w:r>
      <w:r w:rsidR="001D0F3A" w:rsidRPr="001D0F3A">
        <w:rPr>
          <w:rFonts w:ascii="Times New Roman" w:eastAsia="楷体" w:hAnsi="Times New Roman" w:cs="Times New Roman" w:hint="eastAsia"/>
        </w:rPr>
        <w:t xml:space="preserve"> 2020 </w:t>
      </w:r>
      <w:r w:rsidR="001D0F3A" w:rsidRPr="001D0F3A">
        <w:rPr>
          <w:rFonts w:ascii="Times New Roman" w:eastAsia="楷体" w:hAnsi="Times New Roman" w:cs="Times New Roman" w:hint="eastAsia"/>
        </w:rPr>
        <w:t>年全球疫情冲击期间，</w:t>
      </w:r>
      <w:r w:rsidR="001D0F3A" w:rsidRPr="001D0F3A">
        <w:rPr>
          <w:rFonts w:ascii="Times New Roman" w:eastAsia="楷体" w:hAnsi="Times New Roman" w:cs="Times New Roman" w:hint="eastAsia"/>
        </w:rPr>
        <w:t>GPFG</w:t>
      </w:r>
      <w:r w:rsidR="001D0F3A" w:rsidRPr="001D0F3A">
        <w:rPr>
          <w:rFonts w:ascii="Times New Roman" w:eastAsia="楷体" w:hAnsi="Times New Roman" w:cs="Times New Roman" w:hint="eastAsia"/>
        </w:rPr>
        <w:t>正是依靠自动再平衡大幅增持股票，使得基金在当年录得超过</w:t>
      </w:r>
      <w:r w:rsidR="001D0F3A" w:rsidRPr="001D0F3A">
        <w:rPr>
          <w:rFonts w:ascii="Times New Roman" w:eastAsia="楷体" w:hAnsi="Times New Roman" w:cs="Times New Roman" w:hint="eastAsia"/>
        </w:rPr>
        <w:t xml:space="preserve"> 10% </w:t>
      </w:r>
      <w:r w:rsidR="001D0F3A" w:rsidRPr="001D0F3A">
        <w:rPr>
          <w:rFonts w:ascii="Times New Roman" w:eastAsia="楷体" w:hAnsi="Times New Roman" w:cs="Times New Roman" w:hint="eastAsia"/>
        </w:rPr>
        <w:t>的收益反弹</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_Ref35413468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。这一经验反映出</w:t>
      </w:r>
      <w:r w:rsidR="001D0F3A" w:rsidRPr="001D0F3A">
        <w:rPr>
          <w:rFonts w:ascii="Times New Roman" w:eastAsia="楷体" w:hAnsi="Times New Roman" w:cs="Times New Roman" w:hint="eastAsia"/>
        </w:rPr>
        <w:t xml:space="preserve"> </w:t>
      </w:r>
      <w:r w:rsidR="001D0F3A" w:rsidRPr="001D0F3A">
        <w:rPr>
          <w:rFonts w:ascii="Times New Roman" w:eastAsia="楷体" w:hAnsi="Times New Roman" w:cs="Times New Roman" w:hint="eastAsia"/>
        </w:rPr>
        <w:t>纪律性资产配置与长期投资视角</w:t>
      </w:r>
      <w:r w:rsidR="001D0F3A" w:rsidRPr="001D0F3A">
        <w:rPr>
          <w:rFonts w:ascii="Times New Roman" w:eastAsia="楷体" w:hAnsi="Times New Roman" w:cs="Times New Roman" w:hint="eastAsia"/>
        </w:rPr>
        <w:t xml:space="preserve"> </w:t>
      </w:r>
      <w:r w:rsidR="001D0F3A" w:rsidRPr="001D0F3A">
        <w:rPr>
          <w:rFonts w:ascii="Times New Roman" w:eastAsia="楷体" w:hAnsi="Times New Roman" w:cs="Times New Roman" w:hint="eastAsia"/>
        </w:rPr>
        <w:t>对于大规模公共养老金的重要性。日本</w:t>
      </w:r>
      <w:r w:rsidR="001D0F3A" w:rsidRPr="001D0F3A">
        <w:rPr>
          <w:rFonts w:ascii="Times New Roman" w:eastAsia="楷体" w:hAnsi="Times New Roman" w:cs="Times New Roman" w:hint="eastAsia"/>
        </w:rPr>
        <w:t xml:space="preserve"> GPIF </w:t>
      </w:r>
      <w:r w:rsidR="001D0F3A" w:rsidRPr="001D0F3A">
        <w:rPr>
          <w:rFonts w:ascii="Times New Roman" w:eastAsia="楷体" w:hAnsi="Times New Roman" w:cs="Times New Roman" w:hint="eastAsia"/>
        </w:rPr>
        <w:t>的风险管理体系亦在学术研究中频繁被引用为典型案例</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_Ref3176928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w:t>
      </w:r>
      <w:r w:rsidR="001D0F3A" w:rsidRPr="001D0F3A">
        <w:rPr>
          <w:rFonts w:ascii="Times New Roman" w:eastAsia="楷体" w:hAnsi="Times New Roman" w:cs="Times New Roman" w:hint="eastAsia"/>
        </w:rPr>
        <w:t>GPIF</w:t>
      </w:r>
      <w:r w:rsidR="001D0F3A" w:rsidRPr="001D0F3A">
        <w:rPr>
          <w:rFonts w:ascii="Times New Roman" w:eastAsia="楷体" w:hAnsi="Times New Roman" w:cs="Times New Roman" w:hint="eastAsia"/>
        </w:rPr>
        <w:t>通过允许配置偏离区间、设置跟踪误差上限、引入独立外部顾问等方式构建了严格的风险预算与监视系统，并将压力测试作为常态化工具，以评估不同宏观情景下可能对养老金负债及资产造成的影响</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_Ref76296490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。研究指出，</w:t>
      </w:r>
      <w:r w:rsidR="001D0F3A" w:rsidRPr="001D0F3A">
        <w:rPr>
          <w:rFonts w:ascii="Times New Roman" w:eastAsia="楷体" w:hAnsi="Times New Roman" w:cs="Times New Roman" w:hint="eastAsia"/>
        </w:rPr>
        <w:t xml:space="preserve">GPIF </w:t>
      </w:r>
      <w:r w:rsidR="001D0F3A" w:rsidRPr="001D0F3A">
        <w:rPr>
          <w:rFonts w:ascii="Times New Roman" w:eastAsia="楷体" w:hAnsi="Times New Roman" w:cs="Times New Roman" w:hint="eastAsia"/>
        </w:rPr>
        <w:t>在多次市场震荡中保持投资纪律、强化风险敞口监测，是其长期取得正向收益的重要原因之一</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_Ref31718075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001D0F3A" w:rsidRPr="001D0F3A">
        <w:rPr>
          <w:rFonts w:ascii="Times New Roman" w:eastAsia="楷体" w:hAnsi="Times New Roman" w:cs="Times New Roman" w:hint="eastAsia"/>
        </w:rPr>
        <w:t>。</w:t>
      </w:r>
    </w:p>
    <w:p w14:paraId="69489814" w14:textId="3F2EC6B7" w:rsidR="001D0F3A" w:rsidRPr="001D0F3A"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在我国，学者普遍关注基本养老保险基金在市场化投资启动后所面临的风险特征。多篇文献指出，由于第一支柱资金需要兼顾保值增值与支付安全，投资组合必须维持适度的流动性和较严格的资产配置上限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_Ref78810877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[38]</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。我国对地方结余基金的市场化委托</w:t>
      </w:r>
      <w:r w:rsidRPr="001D0F3A">
        <w:rPr>
          <w:rFonts w:ascii="Times New Roman" w:eastAsia="楷体" w:hAnsi="Times New Roman" w:cs="Times New Roman" w:hint="eastAsia"/>
        </w:rPr>
        <w:lastRenderedPageBreak/>
        <w:t>运营试验表明，采用接近全国社保基金（</w:t>
      </w:r>
      <w:r w:rsidRPr="001D0F3A">
        <w:rPr>
          <w:rFonts w:ascii="Times New Roman" w:eastAsia="楷体" w:hAnsi="Times New Roman" w:cs="Times New Roman" w:hint="eastAsia"/>
        </w:rPr>
        <w:t>NSSF</w:t>
      </w:r>
      <w:r w:rsidRPr="001D0F3A">
        <w:rPr>
          <w:rFonts w:ascii="Times New Roman" w:eastAsia="楷体" w:hAnsi="Times New Roman" w:cs="Times New Roman" w:hint="eastAsia"/>
        </w:rPr>
        <w:t>）的资产配置框架（如权益资产不超过</w:t>
      </w:r>
      <w:r w:rsidRPr="001D0F3A">
        <w:rPr>
          <w:rFonts w:ascii="Times New Roman" w:eastAsia="楷体" w:hAnsi="Times New Roman" w:cs="Times New Roman" w:hint="eastAsia"/>
        </w:rPr>
        <w:t xml:space="preserve"> 30%</w:t>
      </w:r>
      <w:r w:rsidRPr="001D0F3A">
        <w:rPr>
          <w:rFonts w:ascii="Times New Roman" w:eastAsia="楷体" w:hAnsi="Times New Roman" w:cs="Times New Roman" w:hint="eastAsia"/>
        </w:rPr>
        <w:t>–</w:t>
      </w:r>
      <w:r w:rsidRPr="001D0F3A">
        <w:rPr>
          <w:rFonts w:ascii="Times New Roman" w:eastAsia="楷体" w:hAnsi="Times New Roman" w:cs="Times New Roman" w:hint="eastAsia"/>
        </w:rPr>
        <w:t>40%</w:t>
      </w:r>
      <w:r w:rsidRPr="001D0F3A">
        <w:rPr>
          <w:rFonts w:ascii="Times New Roman" w:eastAsia="楷体" w:hAnsi="Times New Roman" w:cs="Times New Roman" w:hint="eastAsia"/>
        </w:rPr>
        <w:t>、境外投资比例受限等）能够在保持风险可控的同时改善长期收益水平</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_Ref81135374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[6]</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_Ref14784306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[9]</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。此外，近期文献关注衍生品在养老金风险管理中的作用。研究指出，适度使用期货、期权、互换等衍生工具，可用于对冲利率、信用利差或外汇风险，从而改善第一支柱资产组合的风险暴露结构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_Ref70979726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[39]</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。国际经验显示，衍生品在养老金投资中并非用于投机，而是服务于风险覆盖（</w:t>
      </w:r>
      <w:r w:rsidRPr="001D0F3A">
        <w:rPr>
          <w:rFonts w:ascii="Times New Roman" w:eastAsia="楷体" w:hAnsi="Times New Roman" w:cs="Times New Roman" w:hint="eastAsia"/>
        </w:rPr>
        <w:t>hedging</w:t>
      </w:r>
      <w:r w:rsidRPr="001D0F3A">
        <w:rPr>
          <w:rFonts w:ascii="Times New Roman" w:eastAsia="楷体" w:hAnsi="Times New Roman" w:cs="Times New Roman" w:hint="eastAsia"/>
        </w:rPr>
        <w:t>）与提升组合稳定性。在我国，随着监管逐步允许更多风险管理工具被纳入养老金可投资范围，其在一支柱资金管理中的应用潜力也受到学界关注</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_Ref80085665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[40]</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p>
    <w:p w14:paraId="3A300C17" w14:textId="20FF2CAE" w:rsidR="008C1EF4" w:rsidRPr="007D4673"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整体而言，国际经验与中国实践共同表明：长期资产配置纪律、定期压力测试、透明化风险预算与适度使用衍生品工具构成了现代公共养老金风险管理的核心要素，而这些要素对于第一支柱基金尤为关键，因为该制度需维持长期支付能力并承担公共财政稳定的重要使命。</w:t>
      </w:r>
    </w:p>
    <w:p w14:paraId="77A0FA8C" w14:textId="28C5D5B6" w:rsidR="008C1EF4" w:rsidRDefault="001D0F3A" w:rsidP="00195763">
      <w:pPr>
        <w:pStyle w:val="af1"/>
        <w:numPr>
          <w:ilvl w:val="1"/>
          <w:numId w:val="6"/>
        </w:numPr>
        <w:jc w:val="both"/>
        <w:rPr>
          <w:rFonts w:ascii="Times New Roman" w:eastAsia="楷体" w:hAnsi="Times New Roman" w:cs="Times New Roman"/>
          <w:b/>
          <w:bCs/>
        </w:rPr>
      </w:pPr>
      <w:r w:rsidRPr="001D0F3A">
        <w:rPr>
          <w:rFonts w:ascii="Times New Roman" w:eastAsia="楷体" w:hAnsi="Times New Roman" w:cs="Times New Roman" w:hint="eastAsia"/>
          <w:b/>
          <w:bCs/>
        </w:rPr>
        <w:t>监管制度的演进：从数量管制到审慎监管</w:t>
      </w:r>
    </w:p>
    <w:p w14:paraId="29DE7489" w14:textId="386C00C6" w:rsidR="001D0F3A" w:rsidRPr="001D0F3A"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在外部监管层面，全球养老金监管正逐步从“比例限制式监管”向“审慎监管与受托人治理”为核心的模式转型。学界普遍认为，这一转型有助于养老金在保障安全的同时提升投资灵活性、发挥长期资本优势</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_Ref5090106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[33]</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_Ref33486843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[41]</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。例如，美国</w:t>
      </w:r>
      <w:r w:rsidRPr="001D0F3A">
        <w:rPr>
          <w:rFonts w:ascii="Times New Roman" w:eastAsia="楷体" w:hAnsi="Times New Roman" w:cs="Times New Roman" w:hint="eastAsia"/>
        </w:rPr>
        <w:t xml:space="preserve"> ERISA </w:t>
      </w:r>
      <w:r w:rsidRPr="001D0F3A">
        <w:rPr>
          <w:rFonts w:ascii="Times New Roman" w:eastAsia="楷体" w:hAnsi="Times New Roman" w:cs="Times New Roman" w:hint="eastAsia"/>
        </w:rPr>
        <w:t>法案确立的受托人审慎义务要求养老金管理者以专业标准控制投资风险，而非依靠行政比例限制</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_Ref66669017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[33]</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。欧洲</w:t>
      </w:r>
      <w:r w:rsidRPr="001D0F3A">
        <w:rPr>
          <w:rFonts w:ascii="Times New Roman" w:eastAsia="楷体" w:hAnsi="Times New Roman" w:cs="Times New Roman" w:hint="eastAsia"/>
        </w:rPr>
        <w:t xml:space="preserve"> IORP II </w:t>
      </w:r>
      <w:r w:rsidRPr="001D0F3A">
        <w:rPr>
          <w:rFonts w:ascii="Times New Roman" w:eastAsia="楷体" w:hAnsi="Times New Roman" w:cs="Times New Roman" w:hint="eastAsia"/>
        </w:rPr>
        <w:t>指令则要求养老金基金制定书面的投资政策声明（</w:t>
      </w:r>
      <w:r w:rsidRPr="001D0F3A">
        <w:rPr>
          <w:rFonts w:ascii="Times New Roman" w:eastAsia="楷体" w:hAnsi="Times New Roman" w:cs="Times New Roman" w:hint="eastAsia"/>
        </w:rPr>
        <w:t>IPS</w:t>
      </w:r>
      <w:r w:rsidRPr="001D0F3A">
        <w:rPr>
          <w:rFonts w:ascii="Times New Roman" w:eastAsia="楷体" w:hAnsi="Times New Roman" w:cs="Times New Roman" w:hint="eastAsia"/>
        </w:rPr>
        <w:t>），明确风险容忍度、战略资产配置、治理结构与信息披露要求</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_Ref6493866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[29]</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p>
    <w:p w14:paraId="01D6CD47" w14:textId="1A839D8C" w:rsidR="00C41A78"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挪威</w:t>
      </w:r>
      <w:r w:rsidRPr="001D0F3A">
        <w:rPr>
          <w:rFonts w:ascii="Times New Roman" w:eastAsia="楷体" w:hAnsi="Times New Roman" w:cs="Times New Roman" w:hint="eastAsia"/>
        </w:rPr>
        <w:t xml:space="preserve"> GPFG </w:t>
      </w:r>
      <w:r w:rsidRPr="001D0F3A">
        <w:rPr>
          <w:rFonts w:ascii="Times New Roman" w:eastAsia="楷体" w:hAnsi="Times New Roman" w:cs="Times New Roman" w:hint="eastAsia"/>
        </w:rPr>
        <w:t>的治理安排常被文献视为“典型的审慎监管框架”</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_Ref30136210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_Ref11996537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：基金管理由独立机构执行，财政部负责设定战略目标和风险约束，投资运作必须定期披露投资组合、回报与风险指标，并接受外部绩效与合规审计。学界认为，这种“明确边界</w:t>
      </w:r>
      <w:r w:rsidRPr="001D0F3A">
        <w:rPr>
          <w:rFonts w:ascii="Times New Roman" w:eastAsia="楷体" w:hAnsi="Times New Roman" w:cs="Times New Roman" w:hint="eastAsia"/>
        </w:rPr>
        <w:t xml:space="preserve"> + </w:t>
      </w:r>
      <w:r w:rsidRPr="001D0F3A">
        <w:rPr>
          <w:rFonts w:ascii="Times New Roman" w:eastAsia="楷体" w:hAnsi="Times New Roman" w:cs="Times New Roman" w:hint="eastAsia"/>
        </w:rPr>
        <w:t>高透明度”的监管模式为大型公共养老金提供了最大化长期收益与保持风险可控的双重保障</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_Ref90438175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r w:rsidR="00C41A78" w:rsidRPr="00C41A78">
        <w:rPr>
          <w:rFonts w:ascii="Times New Roman" w:eastAsia="楷体" w:hAnsi="Times New Roman" w:cs="Times New Roman" w:hint="eastAsia"/>
        </w:rPr>
        <w:t>有研究指出公共养老金基金在压力增大时倾向承担更高风险以追求目标收益率，从而放大了制度性脆弱性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_Ref23487723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[42]</w:t>
      </w:r>
      <w:r w:rsidR="00AF33AC">
        <w:rPr>
          <w:rFonts w:ascii="Times New Roman" w:eastAsia="楷体" w:hAnsi="Times New Roman" w:cs="Times New Roman"/>
        </w:rPr>
        <w:fldChar w:fldCharType="end"/>
      </w:r>
      <w:r w:rsidR="00C41A78" w:rsidRPr="00C41A78">
        <w:rPr>
          <w:rFonts w:ascii="Times New Roman" w:eastAsia="楷体" w:hAnsi="Times New Roman" w:cs="Times New Roman" w:hint="eastAsia"/>
        </w:rPr>
        <w:t>。</w:t>
      </w:r>
      <w:r w:rsidR="00C41A78" w:rsidRPr="00C41A78">
        <w:rPr>
          <w:rFonts w:ascii="Times New Roman" w:eastAsia="楷体" w:hAnsi="Times New Roman" w:cs="Times New Roman" w:hint="eastAsia"/>
        </w:rPr>
        <w:t xml:space="preserve">2022 </w:t>
      </w:r>
      <w:r w:rsidR="00C41A78" w:rsidRPr="00C41A78">
        <w:rPr>
          <w:rFonts w:ascii="Times New Roman" w:eastAsia="楷体" w:hAnsi="Times New Roman" w:cs="Times New Roman" w:hint="eastAsia"/>
        </w:rPr>
        <w:t>年英国养老金在利率暴涨冲击下出现</w:t>
      </w:r>
      <w:r w:rsidR="00C41A78" w:rsidRPr="00C41A78">
        <w:rPr>
          <w:rFonts w:ascii="Times New Roman" w:eastAsia="楷体" w:hAnsi="Times New Roman" w:cs="Times New Roman" w:hint="eastAsia"/>
        </w:rPr>
        <w:t xml:space="preserve"> LDI </w:t>
      </w:r>
      <w:r w:rsidR="00C41A78" w:rsidRPr="00C41A78">
        <w:rPr>
          <w:rFonts w:ascii="Times New Roman" w:eastAsia="楷体" w:hAnsi="Times New Roman" w:cs="Times New Roman" w:hint="eastAsia"/>
        </w:rPr>
        <w:t>流动性危机，暴露审慎监管下依然可能累积的系统性脆弱性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_Ref95417815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[43]</w:t>
      </w:r>
      <w:r w:rsidR="00AF33AC">
        <w:rPr>
          <w:rFonts w:ascii="Times New Roman" w:eastAsia="楷体" w:hAnsi="Times New Roman" w:cs="Times New Roman"/>
        </w:rPr>
        <w:fldChar w:fldCharType="end"/>
      </w:r>
      <w:r w:rsidR="00C41A78" w:rsidRPr="00C41A78">
        <w:rPr>
          <w:rFonts w:ascii="Times New Roman" w:eastAsia="楷体" w:hAnsi="Times New Roman" w:cs="Times New Roman" w:hint="eastAsia"/>
        </w:rPr>
        <w:t>。</w:t>
      </w:r>
    </w:p>
    <w:p w14:paraId="43453132" w14:textId="2A8CAC6A" w:rsidR="001D0F3A" w:rsidRPr="001D0F3A"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t>相比之下，中国的监管体系迄今仍体现出较强的数量管制特征。</w:t>
      </w:r>
      <w:r w:rsidRPr="001D0F3A">
        <w:rPr>
          <w:rFonts w:ascii="Times New Roman" w:eastAsia="楷体" w:hAnsi="Times New Roman" w:cs="Times New Roman" w:hint="eastAsia"/>
        </w:rPr>
        <w:t xml:space="preserve">2015 </w:t>
      </w:r>
      <w:r w:rsidRPr="001D0F3A">
        <w:rPr>
          <w:rFonts w:ascii="Times New Roman" w:eastAsia="楷体" w:hAnsi="Times New Roman" w:cs="Times New Roman" w:hint="eastAsia"/>
        </w:rPr>
        <w:t>年出台的《基本养老保险基金投资管理办法》明确规定基金的权益类资产、企业债券、单一股票等的比例上限（如权益类不超过</w:t>
      </w:r>
      <w:r w:rsidRPr="001D0F3A">
        <w:rPr>
          <w:rFonts w:ascii="Times New Roman" w:eastAsia="楷体" w:hAnsi="Times New Roman" w:cs="Times New Roman" w:hint="eastAsia"/>
        </w:rPr>
        <w:t xml:space="preserve"> 30%</w:t>
      </w:r>
      <w:r w:rsidRPr="001D0F3A">
        <w:rPr>
          <w:rFonts w:ascii="Times New Roman" w:eastAsia="楷体" w:hAnsi="Times New Roman" w:cs="Times New Roman" w:hint="eastAsia"/>
        </w:rPr>
        <w:t>–</w:t>
      </w:r>
      <w:r w:rsidRPr="001D0F3A">
        <w:rPr>
          <w:rFonts w:ascii="Times New Roman" w:eastAsia="楷体" w:hAnsi="Times New Roman" w:cs="Times New Roman" w:hint="eastAsia"/>
        </w:rPr>
        <w:t>40%</w:t>
      </w:r>
      <w:r w:rsidRPr="001D0F3A">
        <w:rPr>
          <w:rFonts w:ascii="Times New Roman" w:eastAsia="楷体" w:hAnsi="Times New Roman" w:cs="Times New Roman" w:hint="eastAsia"/>
        </w:rPr>
        <w:t>），并限制境外投资规模</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_Ref13224185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[7]</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。这些规定在制度初期具有重要稳定作用，但研究普遍认为，与海外成熟养老金相比，我国对第一支柱投资范围与比例的限制仍偏保守，可能制约长期回报空间与风险分散能力</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_Ref23086697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[15]</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_Ref39940625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。国内相关研究也强调，随着市场化投资规模扩大，监管应从“比例限制”逐步走向“审慎监管”，包括扩大信息披露要求、建立定期压力测试制度、完善受托人责任体系、引入更多专业机构参与管理等</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_Ref14228743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[41]</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r w:rsidRPr="001D0F3A">
        <w:rPr>
          <w:rFonts w:ascii="Times New Roman" w:eastAsia="楷体" w:hAnsi="Times New Roman" w:cs="Times New Roman" w:hint="eastAsia"/>
        </w:rPr>
        <w:t xml:space="preserve">IMF </w:t>
      </w:r>
      <w:r w:rsidRPr="001D0F3A">
        <w:rPr>
          <w:rFonts w:ascii="Times New Roman" w:eastAsia="楷体" w:hAnsi="Times New Roman" w:cs="Times New Roman" w:hint="eastAsia"/>
        </w:rPr>
        <w:t>最新报告也指出，中国应在确保安全性的前提下适度放宽投资限制，提高养老金机构在资产组合、全球投资与风险工具运用上的自主权，以提升长期可持续性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_Ref25925756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[44]</w:t>
      </w:r>
      <w:r w:rsidR="00AF33AC">
        <w:rPr>
          <w:rFonts w:ascii="Times New Roman" w:eastAsia="楷体" w:hAnsi="Times New Roman" w:cs="Times New Roman"/>
        </w:rPr>
        <w:fldChar w:fldCharType="end"/>
      </w:r>
      <w:r w:rsidRPr="001D0F3A">
        <w:rPr>
          <w:rFonts w:ascii="Times New Roman" w:eastAsia="楷体" w:hAnsi="Times New Roman" w:cs="Times New Roman" w:hint="eastAsia"/>
        </w:rPr>
        <w:t>。</w:t>
      </w:r>
    </w:p>
    <w:p w14:paraId="1802F962" w14:textId="507D3231" w:rsidR="001D0F3A" w:rsidRPr="001D0F3A" w:rsidRDefault="001D0F3A" w:rsidP="001D0F3A">
      <w:pPr>
        <w:pStyle w:val="af1"/>
        <w:jc w:val="both"/>
        <w:rPr>
          <w:rFonts w:ascii="Times New Roman" w:eastAsia="楷体" w:hAnsi="Times New Roman" w:cs="Times New Roman"/>
        </w:rPr>
      </w:pPr>
      <w:r w:rsidRPr="001D0F3A">
        <w:rPr>
          <w:rFonts w:ascii="Times New Roman" w:eastAsia="楷体" w:hAnsi="Times New Roman" w:cs="Times New Roman" w:hint="eastAsia"/>
        </w:rPr>
        <w:lastRenderedPageBreak/>
        <w:t>综上，全球养老金监管正从“硬性比例约束”转向“治理结构</w:t>
      </w:r>
      <w:r w:rsidRPr="001D0F3A">
        <w:rPr>
          <w:rFonts w:ascii="Times New Roman" w:eastAsia="楷体" w:hAnsi="Times New Roman" w:cs="Times New Roman" w:hint="eastAsia"/>
        </w:rPr>
        <w:t xml:space="preserve"> + </w:t>
      </w:r>
      <w:r w:rsidRPr="001D0F3A">
        <w:rPr>
          <w:rFonts w:ascii="Times New Roman" w:eastAsia="楷体" w:hAnsi="Times New Roman" w:cs="Times New Roman" w:hint="eastAsia"/>
        </w:rPr>
        <w:t>风险自主管理”模式，而中国第一支柱监管也正在沿此方向演进。未来监管重点在于：增强受托人治理、强化信息披露、完善压力测试、扩大投资边界并逐步向审慎监管过渡，以构建适应长期负债特点的现代化公共养老金风险监管体系。</w:t>
      </w:r>
    </w:p>
    <w:p w14:paraId="6B84BBC6" w14:textId="6574EBE6" w:rsidR="008C1EF4" w:rsidRPr="00D974F8" w:rsidRDefault="00D974F8" w:rsidP="00195763">
      <w:pPr>
        <w:pStyle w:val="af1"/>
        <w:numPr>
          <w:ilvl w:val="0"/>
          <w:numId w:val="6"/>
        </w:numPr>
        <w:jc w:val="both"/>
        <w:rPr>
          <w:rFonts w:ascii="Times New Roman" w:eastAsia="楷体" w:hAnsi="Times New Roman" w:cs="Times New Roman"/>
          <w:b/>
          <w:bCs/>
          <w:sz w:val="28"/>
          <w:szCs w:val="28"/>
        </w:rPr>
      </w:pPr>
      <w:r w:rsidRPr="00D974F8">
        <w:rPr>
          <w:rFonts w:ascii="Times New Roman" w:eastAsia="楷体" w:hAnsi="Times New Roman" w:cs="Times New Roman"/>
          <w:b/>
          <w:bCs/>
          <w:sz w:val="28"/>
          <w:szCs w:val="28"/>
        </w:rPr>
        <w:t>数字化：第一支柱养老金管理的智能化转型路径</w:t>
      </w:r>
    </w:p>
    <w:p w14:paraId="5E248853" w14:textId="4CFB1139" w:rsidR="008C1EF4" w:rsidRPr="007D4673" w:rsidRDefault="00D974F8" w:rsidP="00195763">
      <w:pPr>
        <w:pStyle w:val="af1"/>
        <w:jc w:val="both"/>
        <w:rPr>
          <w:rFonts w:ascii="Times New Roman" w:eastAsia="楷体" w:hAnsi="Times New Roman" w:cs="Times New Roman"/>
        </w:rPr>
      </w:pPr>
      <w:r w:rsidRPr="00D974F8">
        <w:rPr>
          <w:rFonts w:ascii="Times New Roman" w:eastAsia="楷体" w:hAnsi="Times New Roman" w:cs="Times New Roman" w:hint="eastAsia"/>
        </w:rPr>
        <w:t>数字化正在深刻重塑公共养老金的治理方式，尤其是承担主要筹资与支付责任的第一支柱基本养老保险基金。面对收支压力上升、投资环境复杂化和监管要求提升的现实背景，数字技术正逐渐成为提升基金运营效率、强化风险管理能力和推动制度现代化的重要工具。本章从数字技术在风险监测、资产配置辅助、运营效率提升以及监管数字化改革四个方面，系统梳理最新研究与国际实践，以揭示数字化如何成为提升第一支柱可持续性的关键动力。</w:t>
      </w:r>
    </w:p>
    <w:p w14:paraId="3A8EB97C" w14:textId="72C1D87E" w:rsidR="008C1EF4" w:rsidRPr="00D974F8" w:rsidRDefault="00D974F8" w:rsidP="00195763">
      <w:pPr>
        <w:pStyle w:val="af1"/>
        <w:numPr>
          <w:ilvl w:val="1"/>
          <w:numId w:val="6"/>
        </w:numPr>
        <w:jc w:val="both"/>
        <w:rPr>
          <w:rFonts w:ascii="Times New Roman" w:eastAsia="楷体" w:hAnsi="Times New Roman" w:cs="Times New Roman"/>
          <w:b/>
          <w:bCs/>
        </w:rPr>
      </w:pPr>
      <w:r w:rsidRPr="00D974F8">
        <w:rPr>
          <w:rFonts w:ascii="Times New Roman" w:eastAsia="楷体" w:hAnsi="Times New Roman" w:cs="Times New Roman" w:hint="eastAsia"/>
          <w:b/>
          <w:bCs/>
        </w:rPr>
        <w:t>数字技术提升风险识别与资产负债管理能力</w:t>
      </w:r>
    </w:p>
    <w:p w14:paraId="1B4E49A6" w14:textId="2A2DA6F2"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数字化首先在风险监测与资产负债管理（</w:t>
      </w:r>
      <w:r w:rsidRPr="00AD1590">
        <w:rPr>
          <w:rFonts w:ascii="Times New Roman" w:eastAsia="楷体" w:hAnsi="Times New Roman" w:cs="Times New Roman" w:hint="eastAsia"/>
        </w:rPr>
        <w:t>ALM</w:t>
      </w:r>
      <w:r w:rsidRPr="00AD1590">
        <w:rPr>
          <w:rFonts w:ascii="Times New Roman" w:eastAsia="楷体" w:hAnsi="Times New Roman" w:cs="Times New Roman" w:hint="eastAsia"/>
        </w:rPr>
        <w:t>）领域产生重大影响。面对长寿风险、市场风险与利率风险叠加的挑战，学术界与行业机构普遍认为，大数据与人工智能技术能够显著提升第一支柱养老金的前瞻性风险识别能力</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_Ref4146630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7B2CAD94" w14:textId="61A291A3"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 xml:space="preserve">CFA Institute </w:t>
      </w:r>
      <w:r w:rsidRPr="00AD1590">
        <w:rPr>
          <w:rFonts w:ascii="Times New Roman" w:eastAsia="楷体" w:hAnsi="Times New Roman" w:cs="Times New Roman" w:hint="eastAsia"/>
        </w:rPr>
        <w:t>的研究指出，人工智能算法能够通过对历史金融数据、宏观经济变量与人口统计数据的交互学习，更有效地估计养老金负债的久期变化与受益人寿命分布，从而改善</w:t>
      </w:r>
      <w:r w:rsidRPr="00AD1590">
        <w:rPr>
          <w:rFonts w:ascii="Times New Roman" w:eastAsia="楷体" w:hAnsi="Times New Roman" w:cs="Times New Roman" w:hint="eastAsia"/>
        </w:rPr>
        <w:t xml:space="preserve"> ALM </w:t>
      </w:r>
      <w:r w:rsidRPr="00AD1590">
        <w:rPr>
          <w:rFonts w:ascii="Times New Roman" w:eastAsia="楷体" w:hAnsi="Times New Roman" w:cs="Times New Roman" w:hint="eastAsia"/>
        </w:rPr>
        <w:t>模型对利率变化与长寿风险的敏感度</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_Ref70251703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具体而言，机器学习在利率期限结构预测、市场波动检测和尾部风险识别方面表现突出，可辅助养老金管理机构提前识别潜在缺口，并自动生成资产久期与投资敞口的调整建议。数字技术同样有助于提高再平衡与投资执行的效率。一些国际养老金机构正探索运用强化学习（</w:t>
      </w:r>
      <w:r w:rsidRPr="00AD1590">
        <w:rPr>
          <w:rFonts w:ascii="Times New Roman" w:eastAsia="楷体" w:hAnsi="Times New Roman" w:cs="Times New Roman" w:hint="eastAsia"/>
        </w:rPr>
        <w:t>Reinforcement Learning, RL</w:t>
      </w:r>
      <w:r w:rsidRPr="00AD1590">
        <w:rPr>
          <w:rFonts w:ascii="Times New Roman" w:eastAsia="楷体" w:hAnsi="Times New Roman" w:cs="Times New Roman" w:hint="eastAsia"/>
        </w:rPr>
        <w:t>）系统优化再平衡策略：</w:t>
      </w:r>
      <w:r w:rsidRPr="00AD1590">
        <w:rPr>
          <w:rFonts w:ascii="Times New Roman" w:eastAsia="楷体" w:hAnsi="Times New Roman" w:cs="Times New Roman" w:hint="eastAsia"/>
        </w:rPr>
        <w:t xml:space="preserve">RL </w:t>
      </w:r>
      <w:r w:rsidRPr="00AD1590">
        <w:rPr>
          <w:rFonts w:ascii="Times New Roman" w:eastAsia="楷体" w:hAnsi="Times New Roman" w:cs="Times New Roman" w:hint="eastAsia"/>
        </w:rPr>
        <w:t>在不同市场情景下通过模拟学习最优执行路径，使投资组合在保持目标风险水平的同时捕捉市场反弹机会，从而改善长期风险调整后的收益</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_Ref94186848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13EF82E3" w14:textId="2115795A"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总体来看，数字化正在使养老金风险管理从静态评估转向动态监测，从事后分析转向事前预警。数字化工具作为“增强型决策支持系统”，强化了第一支柱基金在复杂环境下的应对能力，但也必须辅以模型透明度要求与严格的受托责任，以避免模型偏误带来的潜在风险</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_Ref28170246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[45]</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7F4A305E" w14:textId="42536251" w:rsidR="008C1EF4" w:rsidRPr="00D974F8" w:rsidRDefault="00D974F8"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hint="eastAsia"/>
          <w:b/>
          <w:bCs/>
        </w:rPr>
        <w:t>数</w:t>
      </w:r>
      <w:r w:rsidRPr="00D974F8">
        <w:rPr>
          <w:rFonts w:ascii="Times New Roman" w:eastAsia="楷体" w:hAnsi="Times New Roman" w:cs="Times New Roman" w:hint="eastAsia"/>
          <w:b/>
          <w:bCs/>
        </w:rPr>
        <w:t>字化推动养老金投资运营与内部管理体系的现代化</w:t>
      </w:r>
    </w:p>
    <w:p w14:paraId="13AB39A5" w14:textId="10705941"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在投资运营领域，数字技术推动了第一支柱基金的内部运营流程再造和资产管理能力提升。</w:t>
      </w:r>
      <w:r w:rsidRPr="00AD1590">
        <w:rPr>
          <w:rFonts w:ascii="Times New Roman" w:eastAsia="楷体" w:hAnsi="Times New Roman" w:cs="Times New Roman" w:hint="eastAsia"/>
        </w:rPr>
        <w:t xml:space="preserve">Han </w:t>
      </w:r>
      <w:r w:rsidRPr="00AD1590">
        <w:rPr>
          <w:rFonts w:ascii="Times New Roman" w:eastAsia="楷体" w:hAnsi="Times New Roman" w:cs="Times New Roman" w:hint="eastAsia"/>
        </w:rPr>
        <w:t>等研究表明，中国数字经济的发展显著提升了养老金基金的收入增长与管理效率，大数据与云计算有助于增强投资组合管理、缴费征收与待遇支付的全流程效率</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_Ref4909676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[46]</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7945B45C" w14:textId="4F3D7696"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lastRenderedPageBreak/>
        <w:t>首先，在数据整合方面，云计算使养老金管理机构能够统一管理分散的账户与投资数据，形成覆盖资产、负债、缴费记录与人口数据的综合数据库，为投资决策与风险控制提供数据基础。数字化的账户管理系统还能够降低运营成本，提高待遇核算与支付效率。其次，数字化改善了投资透明度和交易执行流程。区块链被视为养老金运营中的潜在关键技术。其不可篡改和可追溯的特性能够显著降低操作风险和内部代理问题，使投资指令、交易记录与清算过程全程可溯源</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_Ref74845588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[45]</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智能合约进一步能够在达到预设条件时自动执行再平衡、分红与支付指令，减少人为错误与延迟。此外，数字化在参保服务方面同样重要。通过一体化线上服务平台，参保人可以查询缴费记录、预测未来待遇、查看投资情况等，有助于增强透明度与公众信任，提高养老金制度的吸引力。数字化也支持更精细化的决策，如基于大数据的基金绩效评价、账户行为分析、个性化服务推荐等。</w:t>
      </w:r>
    </w:p>
    <w:p w14:paraId="7E04F1F6" w14:textId="5FCD6A66" w:rsidR="008C1EF4"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这些变化表明，数字化正在将养老金运营从传统的行政式管理转向更加数据驱动、透明化和智能化的系统，为第一支柱基金的稳健运行提供制度支撑</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_Ref68675148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[46]</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_Ref76487708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[47]</w:t>
      </w:r>
      <w:r w:rsidR="00AF33AC">
        <w:rPr>
          <w:rFonts w:ascii="Times New Roman" w:eastAsia="楷体" w:hAnsi="Times New Roman" w:cs="Times New Roman"/>
        </w:rPr>
        <w:fldChar w:fldCharType="end"/>
      </w:r>
      <w:r w:rsidR="00D974F8" w:rsidRPr="00D974F8">
        <w:rPr>
          <w:rFonts w:ascii="Times New Roman" w:eastAsia="楷体" w:hAnsi="Times New Roman" w:cs="Times New Roman" w:hint="eastAsia"/>
        </w:rPr>
        <w:t>。</w:t>
      </w:r>
    </w:p>
    <w:p w14:paraId="170CB1D9" w14:textId="26080377" w:rsidR="00AD1590" w:rsidRPr="00D974F8" w:rsidRDefault="00AD1590"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b/>
          <w:bCs/>
        </w:rPr>
        <w:t>监管数字化：从事后监督走向实时穿透式监管</w:t>
      </w:r>
    </w:p>
    <w:p w14:paraId="6E54E238" w14:textId="51BA160A"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除了投资和运营，数字化也深刻改变了养老金监管模式。</w:t>
      </w:r>
      <w:r w:rsidRPr="00AD1590">
        <w:rPr>
          <w:rFonts w:ascii="Times New Roman" w:eastAsia="楷体" w:hAnsi="Times New Roman" w:cs="Times New Roman" w:hint="eastAsia"/>
        </w:rPr>
        <w:t xml:space="preserve">OECD/IOPS </w:t>
      </w:r>
      <w:r w:rsidRPr="00AD1590">
        <w:rPr>
          <w:rFonts w:ascii="Times New Roman" w:eastAsia="楷体" w:hAnsi="Times New Roman" w:cs="Times New Roman" w:hint="eastAsia"/>
        </w:rPr>
        <w:t>指出，数字化能够让监管从传统的报告制、事后制监督，转向实时监控和穿透式监管，使监管部门能够更及时识别养老金基金的风险积累</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_Ref23954481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[48]</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1A33CFAC" w14:textId="3B831E75"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在数字化监管框架下，监管机构可以通过与养老金管理机构的数据接口直接相连，实时接收投资组合变化、交易行为、风险指标等信息。一旦发现未按政策目标配置资产、集中度过高或出现异常交易，即可立即提示或介入，从而有效弥补传统人工审查周期长、滞后性强的问题</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_Ref92346704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[48]</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此外，数字化有助于监管部门进行压力测试、偿付能力分析与长寿风险评估。例如，通过模拟不同经济情景下的资产价格变动与人口结构变化，监管机构可更准确地评估第一支柱基金的偿付能力与资金缺口，并据此调整宏观参数（如缴费率、替代率、统筹层次等）。数字化监管的实施也需要同步加强风险防护。养老金数据涉及高敏感度个人信息与巨额资金流动，因此网络安全、防攻击体系、数据加密与权限管理成为监管体系设计中不可忽视的部分。同时，监管机构需要制定清晰的数据治理规则，以确保算法透明度、公平性，避免出现算法偏见或技术“黑箱化”。</w:t>
      </w:r>
    </w:p>
    <w:p w14:paraId="4287CCF1" w14:textId="6E9924E3"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总体来看，数字化监管不仅提升了监管效率，也强化了第一支柱的制度韧性，使其能够在复杂环境下更好应对市场与人口双重风险</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_Ref80938345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[48]</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_Ref65978009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[45]</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p>
    <w:p w14:paraId="1EC367CD" w14:textId="6738CBEF" w:rsidR="008C1EF4" w:rsidRPr="00AD1590" w:rsidRDefault="00AD1590" w:rsidP="00AD1590">
      <w:pPr>
        <w:pStyle w:val="af1"/>
        <w:numPr>
          <w:ilvl w:val="0"/>
          <w:numId w:val="6"/>
        </w:numPr>
        <w:jc w:val="both"/>
        <w:rPr>
          <w:rFonts w:ascii="Times New Roman" w:eastAsia="楷体" w:hAnsi="Times New Roman" w:cs="Times New Roman"/>
          <w:b/>
          <w:bCs/>
          <w:sz w:val="28"/>
          <w:szCs w:val="28"/>
        </w:rPr>
      </w:pPr>
      <w:r w:rsidRPr="00AD1590">
        <w:rPr>
          <w:rFonts w:ascii="Times New Roman" w:eastAsia="楷体" w:hAnsi="Times New Roman" w:cs="Times New Roman"/>
          <w:b/>
          <w:bCs/>
          <w:sz w:val="28"/>
          <w:szCs w:val="28"/>
        </w:rPr>
        <w:t>未来研究方向：第一支柱养老金体系的可持续性、投资优化与监管演进</w:t>
      </w:r>
    </w:p>
    <w:p w14:paraId="2C402B17" w14:textId="11C7B903"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围绕前文对融资、投资、风险管理与数字化模式的综述，可以看到，中国第一支柱养老金体系正处于结构性转型的关键阶段。未来的研究应从人口结构变化、资产负债管理逻辑、制度激励机制与技术变迁等多维视角出发，构建系统性的学术研究框</w:t>
      </w:r>
      <w:r w:rsidRPr="00AD1590">
        <w:rPr>
          <w:rFonts w:ascii="Times New Roman" w:eastAsia="楷体" w:hAnsi="Times New Roman" w:cs="Times New Roman" w:hint="eastAsia"/>
        </w:rPr>
        <w:lastRenderedPageBreak/>
        <w:t>架。本节不提出政策建议，而是聚焦可供学界深入探索的研究方向，为构建可持续的第一支柱养老体系提供理论基础和实证证据。</w:t>
      </w:r>
    </w:p>
    <w:p w14:paraId="15181D7C" w14:textId="600E8FA3" w:rsidR="00AD1590" w:rsidRPr="00D974F8" w:rsidRDefault="00AD1590"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hint="eastAsia"/>
          <w:b/>
          <w:bCs/>
        </w:rPr>
        <w:t>第一支柱融资可持续性的结构性与动态性研究</w:t>
      </w:r>
    </w:p>
    <w:p w14:paraId="68A153F9" w14:textId="0F667BCA"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未来关于第一支柱融资的研究需要跳出传统的“收支缺口”叙述，转向更加系统的动态分析框架。人口老龄化作为</w:t>
      </w:r>
      <w:r w:rsidRPr="00AD1590">
        <w:rPr>
          <w:rFonts w:ascii="Times New Roman" w:eastAsia="楷体" w:hAnsi="Times New Roman" w:cs="Times New Roman" w:hint="eastAsia"/>
        </w:rPr>
        <w:t xml:space="preserve"> PAYG </w:t>
      </w:r>
      <w:r w:rsidRPr="00AD1590">
        <w:rPr>
          <w:rFonts w:ascii="Times New Roman" w:eastAsia="楷体" w:hAnsi="Times New Roman" w:cs="Times New Roman" w:hint="eastAsia"/>
        </w:rPr>
        <w:t>制度的核心驱动变量已得到大量证明</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_Ref8248693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[10]</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_Ref3058910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[12]</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仍需深化对人口结构冲击的跨省异质性建模，例如：人口净流出地区的缴费能力如何受地方产业结构和劳动力迁移影响？人口净流入大城市的支付压力如何动态演进？现有研究虽指出全国统筹可显著降低地区不平衡</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_Ref96029150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[13]</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，但未来应探索更复杂的空间计量模型，评估全国统筹如何在不同人口情景下调节地区间的风险溢出效应。</w:t>
      </w:r>
    </w:p>
    <w:p w14:paraId="1D61B811" w14:textId="1BA7FB9A"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另一方向是财政责任的显性化与代际公平测算。已有研究指出财政补贴提高了政府隐性养老金债务（</w:t>
      </w:r>
      <w:r w:rsidRPr="00AD1590">
        <w:rPr>
          <w:rFonts w:ascii="Times New Roman" w:eastAsia="楷体" w:hAnsi="Times New Roman" w:cs="Times New Roman" w:hint="eastAsia"/>
        </w:rPr>
        <w:t>IPD</w:t>
      </w:r>
      <w:r w:rsidRPr="00AD1590">
        <w:rPr>
          <w:rFonts w:ascii="Times New Roman" w:eastAsia="楷体" w:hAnsi="Times New Roman" w:cs="Times New Roman" w:hint="eastAsia"/>
        </w:rPr>
        <w:t>）的规模，但对</w:t>
      </w:r>
      <w:r w:rsidRPr="00AD1590">
        <w:rPr>
          <w:rFonts w:ascii="Times New Roman" w:eastAsia="楷体" w:hAnsi="Times New Roman" w:cs="Times New Roman" w:hint="eastAsia"/>
        </w:rPr>
        <w:t xml:space="preserve"> IPD </w:t>
      </w:r>
      <w:r w:rsidRPr="00AD1590">
        <w:rPr>
          <w:rFonts w:ascii="Times New Roman" w:eastAsia="楷体" w:hAnsi="Times New Roman" w:cs="Times New Roman" w:hint="eastAsia"/>
        </w:rPr>
        <w:t>的估算方法仍存在差异</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_Ref79275644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[18]</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_Ref41889989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[11]</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。未来可探索更严格的精算模型、代际核算方法和长期压力测试方案，系统评估不同参数改革（缴费率、退休年龄、替代率）的政策路径如何影响</w:t>
      </w:r>
      <w:r w:rsidRPr="00AD1590">
        <w:rPr>
          <w:rFonts w:ascii="Times New Roman" w:eastAsia="楷体" w:hAnsi="Times New Roman" w:cs="Times New Roman" w:hint="eastAsia"/>
        </w:rPr>
        <w:t xml:space="preserve"> PAYG </w:t>
      </w:r>
      <w:r w:rsidRPr="00AD1590">
        <w:rPr>
          <w:rFonts w:ascii="Times New Roman" w:eastAsia="楷体" w:hAnsi="Times New Roman" w:cs="Times New Roman" w:hint="eastAsia"/>
        </w:rPr>
        <w:t>的动态均衡。此外，我国具有跨区域流动人口规模巨大、城镇化速度快的特点，研究如何将流动性与缴费行为纳入动态融资模型，将为未来的第一支柱改革提供更具适应性的理论支持。</w:t>
      </w:r>
    </w:p>
    <w:p w14:paraId="59E8283E" w14:textId="560F5A88"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未来研究还应关注多支柱体系与第一支柱融资互动的量化机制。当前文献指出第二、第三支柱发展不足放大了第一支柱压力</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_Ref62270832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[25]</w:t>
      </w:r>
      <w:r w:rsidR="00AF33AC">
        <w:rPr>
          <w:rFonts w:ascii="Times New Roman" w:eastAsia="楷体" w:hAnsi="Times New Roman" w:cs="Times New Roman"/>
        </w:rPr>
        <w:fldChar w:fldCharType="end"/>
      </w:r>
      <w:r w:rsidR="00AF33AC">
        <w:rPr>
          <w:rFonts w:ascii="Times New Roman" w:eastAsia="楷体" w:hAnsi="Times New Roman" w:cs="Times New Roman" w:hint="eastAsia"/>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_Ref4918307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[49]</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_Ref56519014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[29]</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，但尚缺乏对“三支柱互动结构”的正式模型。未来可借助动态一般均衡模型（</w:t>
      </w:r>
      <w:r w:rsidRPr="00AD1590">
        <w:rPr>
          <w:rFonts w:ascii="Times New Roman" w:eastAsia="楷体" w:hAnsi="Times New Roman" w:cs="Times New Roman" w:hint="eastAsia"/>
        </w:rPr>
        <w:t>DGE</w:t>
      </w:r>
      <w:r w:rsidRPr="00AD1590">
        <w:rPr>
          <w:rFonts w:ascii="Times New Roman" w:eastAsia="楷体" w:hAnsi="Times New Roman" w:cs="Times New Roman" w:hint="eastAsia"/>
        </w:rPr>
        <w:t>）、重叠世代模型（</w:t>
      </w:r>
      <w:r w:rsidRPr="00AD1590">
        <w:rPr>
          <w:rFonts w:ascii="Times New Roman" w:eastAsia="楷体" w:hAnsi="Times New Roman" w:cs="Times New Roman" w:hint="eastAsia"/>
        </w:rPr>
        <w:t>OLG</w:t>
      </w:r>
      <w:r w:rsidRPr="00AD1590">
        <w:rPr>
          <w:rFonts w:ascii="Times New Roman" w:eastAsia="楷体" w:hAnsi="Times New Roman" w:cs="Times New Roman" w:hint="eastAsia"/>
        </w:rPr>
        <w:t>）或制度模拟方法，从制度激励、储蓄行为与财政能力视角构建更具解释力的理论框架。</w:t>
      </w:r>
    </w:p>
    <w:p w14:paraId="3D38D376" w14:textId="0D7E2A2A" w:rsidR="00AD1590" w:rsidRPr="00D974F8" w:rsidRDefault="00AD1590"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b/>
          <w:bCs/>
        </w:rPr>
        <w:t>第一支柱养老金投资的全球化配置与长期资产负债管理</w:t>
      </w:r>
    </w:p>
    <w:p w14:paraId="23FFE423" w14:textId="7FAFB689"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现有研究表明，全球养老金普遍提高权益和另类资产配置比例，以应对长期支付责任</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_Ref51019996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w:t>
      </w:r>
      <w:r w:rsidR="00AF33AC">
        <w:rPr>
          <w:rFonts w:ascii="Times New Roman" w:eastAsia="楷体" w:hAnsi="Times New Roman" w:cs="Times New Roman"/>
        </w:rPr>
        <w:fldChar w:fldCharType="end"/>
      </w:r>
      <w:r w:rsidR="00AF33AC">
        <w:rPr>
          <w:rFonts w:ascii="Times New Roman" w:eastAsia="楷体" w:hAnsi="Times New Roman" w:cs="Times New Roman" w:hint="eastAsia"/>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_Ref59407538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[25]</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_Ref76306117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[49]</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。然而，对于第一支柱基金而言，未来关注重点不应仅仅是权益比例，而是资产负债管理（</w:t>
      </w:r>
      <w:r w:rsidRPr="00AD1590">
        <w:rPr>
          <w:rFonts w:ascii="Times New Roman" w:eastAsia="楷体" w:hAnsi="Times New Roman" w:cs="Times New Roman" w:hint="eastAsia"/>
        </w:rPr>
        <w:t>ALM</w:t>
      </w:r>
      <w:r w:rsidRPr="00AD1590">
        <w:rPr>
          <w:rFonts w:ascii="Times New Roman" w:eastAsia="楷体" w:hAnsi="Times New Roman" w:cs="Times New Roman" w:hint="eastAsia"/>
        </w:rPr>
        <w:t>）意义上的“负债驱动投资”（</w:t>
      </w:r>
      <w:r w:rsidRPr="00AD1590">
        <w:rPr>
          <w:rFonts w:ascii="Times New Roman" w:eastAsia="楷体" w:hAnsi="Times New Roman" w:cs="Times New Roman" w:hint="eastAsia"/>
        </w:rPr>
        <w:t>Liability-Driven Investment, LDI</w:t>
      </w:r>
      <w:r w:rsidRPr="00AD1590">
        <w:rPr>
          <w:rFonts w:ascii="Times New Roman" w:eastAsia="楷体" w:hAnsi="Times New Roman" w:cs="Times New Roman" w:hint="eastAsia"/>
        </w:rPr>
        <w:t>）。例如，挪威</w:t>
      </w:r>
      <w:r w:rsidRPr="00AD1590">
        <w:rPr>
          <w:rFonts w:ascii="Times New Roman" w:eastAsia="楷体" w:hAnsi="Times New Roman" w:cs="Times New Roman" w:hint="eastAsia"/>
        </w:rPr>
        <w:t xml:space="preserve"> GPFG</w:t>
      </w:r>
      <w:r w:rsidRPr="00AD1590">
        <w:rPr>
          <w:rFonts w:ascii="Times New Roman" w:eastAsia="楷体" w:hAnsi="Times New Roman" w:cs="Times New Roman" w:hint="eastAsia"/>
        </w:rPr>
        <w:t>、荷兰</w:t>
      </w:r>
      <w:r w:rsidRPr="00AD1590">
        <w:rPr>
          <w:rFonts w:ascii="Times New Roman" w:eastAsia="楷体" w:hAnsi="Times New Roman" w:cs="Times New Roman" w:hint="eastAsia"/>
        </w:rPr>
        <w:t xml:space="preserve"> APG</w:t>
      </w:r>
      <w:r w:rsidRPr="00AD1590">
        <w:rPr>
          <w:rFonts w:ascii="Times New Roman" w:eastAsia="楷体" w:hAnsi="Times New Roman" w:cs="Times New Roman" w:hint="eastAsia"/>
        </w:rPr>
        <w:t>、日本</w:t>
      </w:r>
      <w:r w:rsidRPr="00AD1590">
        <w:rPr>
          <w:rFonts w:ascii="Times New Roman" w:eastAsia="楷体" w:hAnsi="Times New Roman" w:cs="Times New Roman" w:hint="eastAsia"/>
        </w:rPr>
        <w:t xml:space="preserve"> GPIF </w:t>
      </w:r>
      <w:r w:rsidRPr="00AD1590">
        <w:rPr>
          <w:rFonts w:ascii="Times New Roman" w:eastAsia="楷体" w:hAnsi="Times New Roman" w:cs="Times New Roman" w:hint="eastAsia"/>
        </w:rPr>
        <w:t>在权益配置、另类资产与全球化布局的权衡均体现了对长期负债特征的深度匹配</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_Ref11163443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00AF33AC">
        <w:rPr>
          <w:rFonts w:ascii="Times New Roman" w:eastAsia="楷体" w:hAnsi="Times New Roman" w:cs="Times New Roman" w:hint="eastAsia"/>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_Ref60289931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_Ref19873500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。未来研究可以从以下方向深化：</w:t>
      </w:r>
    </w:p>
    <w:p w14:paraId="69BCA9B0" w14:textId="3A7E85AC"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首先，需要将中国第一支柱的负债现金流特征纳入研究框架。与企业年金、职业年金不同，第一支柱的负债由人口结构决定，具有更强的刚性。学界可构建贴现负债模型，量化不同投资策略、不同权益配置路径对未来缺口演化的影响。</w:t>
      </w:r>
    </w:p>
    <w:p w14:paraId="354C4A56" w14:textId="29E1D883"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其次，可探索第一支柱的全球化投资策略如何适应经济周期和跨国风险关联结构。</w:t>
      </w:r>
      <w:r w:rsidRPr="00AD1590">
        <w:rPr>
          <w:rFonts w:ascii="Times New Roman" w:eastAsia="楷体" w:hAnsi="Times New Roman" w:cs="Times New Roman" w:hint="eastAsia"/>
        </w:rPr>
        <w:t xml:space="preserve">GPFG </w:t>
      </w:r>
      <w:r w:rsidRPr="00AD1590">
        <w:rPr>
          <w:rFonts w:ascii="Times New Roman" w:eastAsia="楷体" w:hAnsi="Times New Roman" w:cs="Times New Roman" w:hint="eastAsia"/>
        </w:rPr>
        <w:t>的</w:t>
      </w:r>
      <w:r w:rsidRPr="00AD1590">
        <w:rPr>
          <w:rFonts w:ascii="Times New Roman" w:eastAsia="楷体" w:hAnsi="Times New Roman" w:cs="Times New Roman" w:hint="eastAsia"/>
        </w:rPr>
        <w:t xml:space="preserve"> 70% </w:t>
      </w:r>
      <w:r w:rsidRPr="00AD1590">
        <w:rPr>
          <w:rFonts w:ascii="Times New Roman" w:eastAsia="楷体" w:hAnsi="Times New Roman" w:cs="Times New Roman" w:hint="eastAsia"/>
        </w:rPr>
        <w:t>权益配置和广泛的全球分散布局为研究长周期资产配置提供了重要</w:t>
      </w:r>
      <w:r w:rsidRPr="00AD1590">
        <w:rPr>
          <w:rFonts w:ascii="Times New Roman" w:eastAsia="楷体" w:hAnsi="Times New Roman" w:cs="Times New Roman" w:hint="eastAsia"/>
        </w:rPr>
        <w:lastRenderedPageBreak/>
        <w:t>案例</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_Ref24353850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w:t>
      </w:r>
      <w:r w:rsidRPr="00AD1590">
        <w:rPr>
          <w:rFonts w:ascii="Times New Roman" w:eastAsia="楷体" w:hAnsi="Times New Roman" w:cs="Times New Roman" w:hint="eastAsia"/>
        </w:rPr>
        <w:t xml:space="preserve">GPIF </w:t>
      </w:r>
      <w:r w:rsidRPr="00AD1590">
        <w:rPr>
          <w:rFonts w:ascii="Times New Roman" w:eastAsia="楷体" w:hAnsi="Times New Roman" w:cs="Times New Roman" w:hint="eastAsia"/>
        </w:rPr>
        <w:t>的改革经验也说明，提高海外资产配置比例可显著改善总体收益表现</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_Ref92538255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。学界可进一步利用全球因子模型（如</w:t>
      </w:r>
      <w:r w:rsidRPr="00AD1590">
        <w:rPr>
          <w:rFonts w:ascii="Times New Roman" w:eastAsia="楷体" w:hAnsi="Times New Roman" w:cs="Times New Roman" w:hint="eastAsia"/>
        </w:rPr>
        <w:t xml:space="preserve"> Fama</w:t>
      </w:r>
      <w:r w:rsidRPr="00AD1590">
        <w:rPr>
          <w:rFonts w:ascii="Times New Roman" w:eastAsia="楷体" w:hAnsi="Times New Roman" w:cs="Times New Roman" w:hint="eastAsia"/>
        </w:rPr>
        <w:t>–</w:t>
      </w:r>
      <w:r w:rsidRPr="00AD1590">
        <w:rPr>
          <w:rFonts w:ascii="Times New Roman" w:eastAsia="楷体" w:hAnsi="Times New Roman" w:cs="Times New Roman" w:hint="eastAsia"/>
        </w:rPr>
        <w:t xml:space="preserve">French </w:t>
      </w:r>
      <w:r w:rsidRPr="00AD1590">
        <w:rPr>
          <w:rFonts w:ascii="Times New Roman" w:eastAsia="楷体" w:hAnsi="Times New Roman" w:cs="Times New Roman" w:hint="eastAsia"/>
        </w:rPr>
        <w:t>五因子）、长周期风险因子（如汇率风险、利率期限结构），评估中国第一支柱在不同情景下的最优境外投资比重。</w:t>
      </w:r>
    </w:p>
    <w:p w14:paraId="27C8F140" w14:textId="4D837044"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第三，另类资产在长期投资中的角色值得深入探讨。</w:t>
      </w:r>
      <w:r w:rsidRPr="00AD1590">
        <w:rPr>
          <w:rFonts w:ascii="Times New Roman" w:eastAsia="楷体" w:hAnsi="Times New Roman" w:cs="Times New Roman" w:hint="eastAsia"/>
        </w:rPr>
        <w:t xml:space="preserve">Andonov </w:t>
      </w:r>
      <w:r w:rsidRPr="00AD1590">
        <w:rPr>
          <w:rFonts w:ascii="Times New Roman" w:eastAsia="楷体" w:hAnsi="Times New Roman" w:cs="Times New Roman" w:hint="eastAsia"/>
        </w:rPr>
        <w:t>等人发现另类资产能显著提升养老金组合长期回报并提供分散化效果</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_Ref46148247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[23]</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，但世界银行等研究同时指出另类资产的透明度和估值风险也不可忽视</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_Ref66817743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[16]</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_Ref66743213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[50]</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。未来研究可围绕估值波动、现金流特征、监管约束构建更完备的分析框架。</w:t>
      </w:r>
    </w:p>
    <w:p w14:paraId="78D304DE" w14:textId="62DBE9B5"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总的来说，未来研究需从“权益比例研究”转向“负债匹配型全球投资研究”，构建针对第一支柱的</w:t>
      </w:r>
      <w:r w:rsidRPr="00AD1590">
        <w:rPr>
          <w:rFonts w:ascii="Times New Roman" w:eastAsia="楷体" w:hAnsi="Times New Roman" w:cs="Times New Roman" w:hint="eastAsia"/>
        </w:rPr>
        <w:t xml:space="preserve"> ALM </w:t>
      </w:r>
      <w:r w:rsidRPr="00AD1590">
        <w:rPr>
          <w:rFonts w:ascii="Times New Roman" w:eastAsia="楷体" w:hAnsi="Times New Roman" w:cs="Times New Roman" w:hint="eastAsia"/>
        </w:rPr>
        <w:t>模型，以指导长期资产配置。</w:t>
      </w:r>
    </w:p>
    <w:p w14:paraId="141ACC99" w14:textId="33B81797" w:rsidR="00AD1590" w:rsidRPr="00D974F8" w:rsidRDefault="00AD1590"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b/>
          <w:bCs/>
        </w:rPr>
        <w:t>审慎监管体系与养老金风险建模的深化研究</w:t>
      </w:r>
    </w:p>
    <w:p w14:paraId="3FB3604B" w14:textId="716813DA"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近年来，多国监管从比例限制走向审慎监管</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_Ref49142671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[33]</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，但在风险建模、监管协调与透明度建设方面仍有大量空间。未来研究可围绕以下三个方向展开：</w:t>
      </w:r>
    </w:p>
    <w:p w14:paraId="16082EA7" w14:textId="15790510"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其一，对养老金投资组合的风险来源进行结构化分解。现有研究发现，第一支柱风险不仅来自市场波动，也来自人口风险、长寿风险和政策参数风险</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_Ref54958892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[29]</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REF _Ref49944061 \r \h \* MERGEFORMAT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[33]</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。未来可开发多因子风险模型，将市场风险因子（股票波动、利率期限结构、信用利差）与人口风险因子（寿命延长、参保率变化）结合，构建适用于第一支柱的综合风险度量体系。</w:t>
      </w:r>
    </w:p>
    <w:p w14:paraId="3B34FC8F" w14:textId="18BC722E"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其二，进一步探讨压力测试在养老金监管中的适用性。</w:t>
      </w:r>
      <w:r w:rsidRPr="00AD1590">
        <w:rPr>
          <w:rFonts w:ascii="Times New Roman" w:eastAsia="楷体" w:hAnsi="Times New Roman" w:cs="Times New Roman" w:hint="eastAsia"/>
        </w:rPr>
        <w:t xml:space="preserve">GPIF </w:t>
      </w:r>
      <w:r w:rsidRPr="00AD1590">
        <w:rPr>
          <w:rFonts w:ascii="Times New Roman" w:eastAsia="楷体" w:hAnsi="Times New Roman" w:cs="Times New Roman" w:hint="eastAsia"/>
        </w:rPr>
        <w:t>和</w:t>
      </w:r>
      <w:r w:rsidRPr="00AD1590">
        <w:rPr>
          <w:rFonts w:ascii="Times New Roman" w:eastAsia="楷体" w:hAnsi="Times New Roman" w:cs="Times New Roman" w:hint="eastAsia"/>
        </w:rPr>
        <w:t xml:space="preserve"> GPFG </w:t>
      </w:r>
      <w:r w:rsidRPr="00AD1590">
        <w:rPr>
          <w:rFonts w:ascii="Times New Roman" w:eastAsia="楷体" w:hAnsi="Times New Roman" w:cs="Times New Roman" w:hint="eastAsia"/>
        </w:rPr>
        <w:t>的经验显示，严格的压力测试有助于发现极端风险，并在危机后进行策略调整</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_Ref68312299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[24]</w:t>
      </w:r>
      <w:r w:rsidR="00AF33AC">
        <w:rPr>
          <w:rFonts w:ascii="Times New Roman" w:eastAsia="楷体" w:hAnsi="Times New Roman" w:cs="Times New Roman"/>
        </w:rPr>
        <w:fldChar w:fldCharType="end"/>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_Ref40336508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[5]</w:t>
      </w:r>
      <w:r w:rsidR="00AF33AC">
        <w:rPr>
          <w:rFonts w:ascii="Times New Roman" w:eastAsia="楷体" w:hAnsi="Times New Roman" w:cs="Times New Roman"/>
        </w:rPr>
        <w:fldChar w:fldCharType="end"/>
      </w:r>
      <w:r w:rsidR="00AF33AC">
        <w:rPr>
          <w:rFonts w:ascii="Times New Roman" w:eastAsia="楷体" w:hAnsi="Times New Roman" w:cs="Times New Roman"/>
        </w:rPr>
        <w:t xml:space="preserve"> </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_Ref30035621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。但中国第一支柱的压力测试体系仍处起步阶段，未来可引入更复杂的极端情景（宏观衰退、通胀冲击、市场瞬时崩盘），同时与财政压力测试结合，实现跨制度的综合性测算。</w:t>
      </w:r>
    </w:p>
    <w:p w14:paraId="7513CFE0" w14:textId="1430DE3E"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其三，审慎监管与市场化投资之间的动态平衡仍是研究重点。随着我国《基本养老保险基金投资管理办法》明确投资比例上限与禁止行为</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_Ref87266475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[7]</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，未来研究需探讨如何在风险控制与收益追求之间找到更优的制度边界；借鉴国际</w:t>
      </w:r>
      <w:r w:rsidRPr="00AD1590">
        <w:rPr>
          <w:rFonts w:ascii="Times New Roman" w:eastAsia="楷体" w:hAnsi="Times New Roman" w:cs="Times New Roman" w:hint="eastAsia"/>
        </w:rPr>
        <w:t xml:space="preserve"> IORP II </w:t>
      </w:r>
      <w:r w:rsidRPr="00AD1590">
        <w:rPr>
          <w:rFonts w:ascii="Times New Roman" w:eastAsia="楷体" w:hAnsi="Times New Roman" w:cs="Times New Roman" w:hint="eastAsia"/>
        </w:rPr>
        <w:t>框架，研究如何提升信息披露质量、受托人治理与激励机制，以从制度层面强化风险文化。</w:t>
      </w:r>
    </w:p>
    <w:p w14:paraId="252DC9AC" w14:textId="20B2E51D" w:rsidR="00AD1590" w:rsidRPr="00D974F8" w:rsidRDefault="00AD1590" w:rsidP="00AD1590">
      <w:pPr>
        <w:pStyle w:val="af1"/>
        <w:numPr>
          <w:ilvl w:val="1"/>
          <w:numId w:val="6"/>
        </w:numPr>
        <w:jc w:val="both"/>
        <w:rPr>
          <w:rFonts w:ascii="Times New Roman" w:eastAsia="楷体" w:hAnsi="Times New Roman" w:cs="Times New Roman"/>
          <w:b/>
          <w:bCs/>
        </w:rPr>
      </w:pPr>
      <w:r w:rsidRPr="00AD1590">
        <w:rPr>
          <w:rFonts w:ascii="Times New Roman" w:eastAsia="楷体" w:hAnsi="Times New Roman" w:cs="Times New Roman"/>
          <w:b/>
          <w:bCs/>
        </w:rPr>
        <w:t>数字化技术与养老金管理的系统性融合研究</w:t>
      </w:r>
    </w:p>
    <w:p w14:paraId="05DF3B68" w14:textId="3303F19E"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数字化既不是独立议题，也不应被视为技术工具，而应被纳入养老金制度结构的一部分。</w:t>
      </w:r>
      <w:r w:rsidRPr="00AD1590">
        <w:rPr>
          <w:rFonts w:ascii="Times New Roman" w:eastAsia="楷体" w:hAnsi="Times New Roman" w:cs="Times New Roman" w:hint="eastAsia"/>
        </w:rPr>
        <w:t xml:space="preserve">CFA Institute </w:t>
      </w:r>
      <w:r w:rsidRPr="00AD1590">
        <w:rPr>
          <w:rFonts w:ascii="Times New Roman" w:eastAsia="楷体" w:hAnsi="Times New Roman" w:cs="Times New Roman" w:hint="eastAsia"/>
        </w:rPr>
        <w:t>强调人工智能将深刻改变养老金投资、风险管理与治理结构</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_Ref93918943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[45]</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。未来研究可从三个方向展开：</w:t>
      </w:r>
    </w:p>
    <w:p w14:paraId="186BFD9D" w14:textId="4DC6D3AD"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lastRenderedPageBreak/>
        <w:t>首先，数字化在资产负债管理（</w:t>
      </w:r>
      <w:r w:rsidRPr="00AD1590">
        <w:rPr>
          <w:rFonts w:ascii="Times New Roman" w:eastAsia="楷体" w:hAnsi="Times New Roman" w:cs="Times New Roman" w:hint="eastAsia"/>
        </w:rPr>
        <w:t>ALM</w:t>
      </w:r>
      <w:r w:rsidRPr="00AD1590">
        <w:rPr>
          <w:rFonts w:ascii="Times New Roman" w:eastAsia="楷体" w:hAnsi="Times New Roman" w:cs="Times New Roman" w:hint="eastAsia"/>
        </w:rPr>
        <w:t>）中的作用仍有待深入。例如，利用机器学习预测寿命变化、养老金领取行为、地区人口迁移，可提升负债预测的准确性，从而提高战略资产配置的科学性。已有研究表明，数字经济发展有助于提升养老金收入稳定性</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_Ref58683664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[46]</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，这为构建基于数字能力的融资分析框架提供方向。</w:t>
      </w:r>
    </w:p>
    <w:p w14:paraId="054F3E09" w14:textId="7479817F" w:rsidR="00AD1590" w:rsidRP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其次，研究数字化对投资系统的变革作用。强监管机构（如挪威</w:t>
      </w:r>
      <w:r w:rsidRPr="00AD1590">
        <w:rPr>
          <w:rFonts w:ascii="Times New Roman" w:eastAsia="楷体" w:hAnsi="Times New Roman" w:cs="Times New Roman" w:hint="eastAsia"/>
        </w:rPr>
        <w:t xml:space="preserve"> GPFG </w:t>
      </w:r>
      <w:r w:rsidRPr="00AD1590">
        <w:rPr>
          <w:rFonts w:ascii="Times New Roman" w:eastAsia="楷体" w:hAnsi="Times New Roman" w:cs="Times New Roman" w:hint="eastAsia"/>
        </w:rPr>
        <w:t>与日本</w:t>
      </w:r>
      <w:r w:rsidRPr="00AD1590">
        <w:rPr>
          <w:rFonts w:ascii="Times New Roman" w:eastAsia="楷体" w:hAnsi="Times New Roman" w:cs="Times New Roman" w:hint="eastAsia"/>
        </w:rPr>
        <w:t xml:space="preserve"> GPIF</w:t>
      </w:r>
      <w:r w:rsidRPr="00AD1590">
        <w:rPr>
          <w:rFonts w:ascii="Times New Roman" w:eastAsia="楷体" w:hAnsi="Times New Roman" w:cs="Times New Roman" w:hint="eastAsia"/>
        </w:rPr>
        <w:t>）已部分采用自动化再平衡、智能化组合监测工具，但其完整的算法治理体系尚未被学界系统化梳理。未来研究可结合大模型、强化学习，分析算法在养老金组合再平衡与风险监测中的有效性与边界条件。</w:t>
      </w:r>
    </w:p>
    <w:p w14:paraId="3DDD04BF" w14:textId="3F2DF891" w:rsidR="00AD1590"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第三，数字化监管（</w:t>
      </w:r>
      <w:proofErr w:type="spellStart"/>
      <w:r w:rsidRPr="00AD1590">
        <w:rPr>
          <w:rFonts w:ascii="Times New Roman" w:eastAsia="楷体" w:hAnsi="Times New Roman" w:cs="Times New Roman" w:hint="eastAsia"/>
        </w:rPr>
        <w:t>SupTech</w:t>
      </w:r>
      <w:proofErr w:type="spellEnd"/>
      <w:r w:rsidRPr="00AD1590">
        <w:rPr>
          <w:rFonts w:ascii="Times New Roman" w:eastAsia="楷体" w:hAnsi="Times New Roman" w:cs="Times New Roman" w:hint="eastAsia"/>
        </w:rPr>
        <w:t>）是重要前沿领域。</w:t>
      </w:r>
      <w:r w:rsidRPr="00AD1590">
        <w:rPr>
          <w:rFonts w:ascii="Times New Roman" w:eastAsia="楷体" w:hAnsi="Times New Roman" w:cs="Times New Roman" w:hint="eastAsia"/>
        </w:rPr>
        <w:t xml:space="preserve">OECD/IOPS </w:t>
      </w:r>
      <w:r w:rsidRPr="00AD1590">
        <w:rPr>
          <w:rFonts w:ascii="Times New Roman" w:eastAsia="楷体" w:hAnsi="Times New Roman" w:cs="Times New Roman" w:hint="eastAsia"/>
        </w:rPr>
        <w:t>研究指出数字监管将推动养老金治理更透明、审慎与实时</w:t>
      </w:r>
      <w:r w:rsidR="00AF33AC">
        <w:rPr>
          <w:rFonts w:ascii="Times New Roman" w:eastAsia="楷体" w:hAnsi="Times New Roman" w:cs="Times New Roman"/>
        </w:rPr>
        <w:fldChar w:fldCharType="begin"/>
      </w:r>
      <w:r w:rsidR="00AF33AC">
        <w:rPr>
          <w:rFonts w:ascii="Times New Roman" w:eastAsia="楷体" w:hAnsi="Times New Roman" w:cs="Times New Roman"/>
        </w:rPr>
        <w:instrText xml:space="preserve"> </w:instrText>
      </w:r>
      <w:r w:rsidR="00AF33AC">
        <w:rPr>
          <w:rFonts w:ascii="Times New Roman" w:eastAsia="楷体" w:hAnsi="Times New Roman" w:cs="Times New Roman" w:hint="eastAsia"/>
        </w:rPr>
        <w:instrText>REF _Ref72879791 \r \h \* MERGEFORMAT</w:instrText>
      </w:r>
      <w:r w:rsidR="00AF33AC">
        <w:rPr>
          <w:rFonts w:ascii="Times New Roman" w:eastAsia="楷体" w:hAnsi="Times New Roman" w:cs="Times New Roman"/>
        </w:rPr>
        <w:instrText xml:space="preserve"> </w:instrText>
      </w:r>
      <w:r w:rsidR="00AF33AC">
        <w:rPr>
          <w:rFonts w:ascii="Times New Roman" w:eastAsia="楷体" w:hAnsi="Times New Roman" w:cs="Times New Roman"/>
        </w:rPr>
      </w:r>
      <w:r w:rsidR="00AF33AC">
        <w:rPr>
          <w:rFonts w:ascii="Times New Roman" w:eastAsia="楷体" w:hAnsi="Times New Roman" w:cs="Times New Roman"/>
        </w:rPr>
        <w:fldChar w:fldCharType="separate"/>
      </w:r>
      <w:r w:rsidR="00AF33AC">
        <w:rPr>
          <w:rFonts w:ascii="Times New Roman" w:eastAsia="楷体" w:hAnsi="Times New Roman" w:cs="Times New Roman"/>
        </w:rPr>
        <w:t>[48]</w:t>
      </w:r>
      <w:r w:rsidR="00AF33AC">
        <w:rPr>
          <w:rFonts w:ascii="Times New Roman" w:eastAsia="楷体" w:hAnsi="Times New Roman" w:cs="Times New Roman"/>
        </w:rPr>
        <w:fldChar w:fldCharType="end"/>
      </w:r>
      <w:r w:rsidRPr="00AD1590">
        <w:rPr>
          <w:rFonts w:ascii="Times New Roman" w:eastAsia="楷体" w:hAnsi="Times New Roman" w:cs="Times New Roman" w:hint="eastAsia"/>
        </w:rPr>
        <w:t>。未来研究可探讨如何利用实时数据接口、区块链透明性与异常检测算法，实现对养老金投资组合的全生命周期“穿透式监管”，同时构建保障数据隐私与网络安全的新型监管框架。</w:t>
      </w:r>
    </w:p>
    <w:p w14:paraId="760CFC15" w14:textId="630BDA31" w:rsidR="00FF08D9" w:rsidRPr="007D4673" w:rsidRDefault="00AD1590" w:rsidP="00AD1590">
      <w:pPr>
        <w:pStyle w:val="af1"/>
        <w:jc w:val="both"/>
        <w:rPr>
          <w:rFonts w:ascii="Times New Roman" w:eastAsia="楷体" w:hAnsi="Times New Roman" w:cs="Times New Roman"/>
        </w:rPr>
      </w:pPr>
      <w:r w:rsidRPr="00AD1590">
        <w:rPr>
          <w:rFonts w:ascii="Times New Roman" w:eastAsia="楷体" w:hAnsi="Times New Roman" w:cs="Times New Roman" w:hint="eastAsia"/>
        </w:rPr>
        <w:t>未来养老金研究应从制度、投资、风险与技术四个维度构建更加综合的、跨学科的研究体系。针对第一支柱的特定制度背景，未来研究不仅要关注收支缺口，更要关注人口、财政、投资与技术之间的深层互动机制，推动关于中国第一支柱养老金的理论体系真正实现国际接轨。</w:t>
      </w:r>
    </w:p>
    <w:p w14:paraId="6B2F9F2C" w14:textId="77777777" w:rsidR="00FF08D9" w:rsidRPr="007D4673" w:rsidRDefault="00000000" w:rsidP="00195763">
      <w:pPr>
        <w:pStyle w:val="a1"/>
        <w:jc w:val="both"/>
        <w:rPr>
          <w:rFonts w:ascii="Times New Roman" w:eastAsia="楷体" w:hAnsi="Times New Roman" w:cs="Times New Roman"/>
        </w:rPr>
      </w:pPr>
      <w:r w:rsidRPr="007D4673">
        <w:rPr>
          <w:rFonts w:ascii="Times New Roman" w:eastAsia="楷体" w:hAnsi="Times New Roman" w:cs="Times New Roman"/>
          <w:b/>
          <w:bCs/>
        </w:rPr>
        <w:t>参考文献：</w:t>
      </w:r>
    </w:p>
    <w:p w14:paraId="7D493FC7"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4" w:name="_Ref65267581"/>
      <w:bookmarkStart w:id="5" w:name="_Ref83539546"/>
      <w:bookmarkStart w:id="6" w:name="_Ref67744952"/>
      <w:bookmarkStart w:id="7" w:name="_Ref40055490"/>
      <w:bookmarkStart w:id="8" w:name="_Ref51019996"/>
      <w:bookmarkEnd w:id="0"/>
      <w:bookmarkEnd w:id="1"/>
      <w:bookmarkEnd w:id="2"/>
      <w:r w:rsidRPr="00720F4E">
        <w:rPr>
          <w:rFonts w:ascii="Times New Roman" w:eastAsia="楷体" w:hAnsi="Times New Roman" w:cs="Times New Roman"/>
        </w:rPr>
        <w:t>OECD, Pension Markets in Focus 2022, Paris: OECD Publishing, 2023.</w:t>
      </w:r>
    </w:p>
    <w:p w14:paraId="7E20AD06"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9" w:name="_Ref39497936"/>
      <w:bookmarkEnd w:id="4"/>
      <w:bookmarkEnd w:id="5"/>
      <w:bookmarkEnd w:id="6"/>
      <w:bookmarkEnd w:id="7"/>
      <w:bookmarkEnd w:id="8"/>
      <w:r w:rsidRPr="00720F4E">
        <w:rPr>
          <w:rFonts w:ascii="Times New Roman" w:eastAsia="楷体" w:hAnsi="Times New Roman" w:cs="Times New Roman"/>
        </w:rPr>
        <w:t>A. Gaspar et al., “The Impact of Aging Worldwide on Pensions and Public Policy,” Finance &amp; Development, 57(1), 2020.</w:t>
      </w:r>
    </w:p>
    <w:p w14:paraId="469AC992"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0" w:name="_Ref98990875"/>
      <w:bookmarkEnd w:id="9"/>
      <w:r w:rsidRPr="00720F4E">
        <w:rPr>
          <w:rFonts w:ascii="Times New Roman" w:eastAsia="楷体" w:hAnsi="Times New Roman" w:cs="Times New Roman"/>
        </w:rPr>
        <w:t>Mercer and CFA Institute, Mercer CFA Institute Global Pension Index 2025, Mercer, 2025.</w:t>
      </w:r>
    </w:p>
    <w:p w14:paraId="3B33D2C3"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 w:name="_Ref78228426"/>
      <w:bookmarkStart w:id="12" w:name="_Ref1494473"/>
      <w:bookmarkStart w:id="13" w:name="_Ref80504620"/>
      <w:bookmarkStart w:id="14" w:name="_Ref88727170"/>
      <w:bookmarkStart w:id="15" w:name="_Ref15544200"/>
      <w:bookmarkStart w:id="16" w:name="_Ref23967928"/>
      <w:bookmarkStart w:id="17" w:name="_Ref99741971"/>
      <w:bookmarkStart w:id="18" w:name="_Ref30136210"/>
      <w:bookmarkStart w:id="19" w:name="_Ref90438175"/>
      <w:bookmarkStart w:id="20" w:name="_Ref11163443"/>
      <w:bookmarkStart w:id="21" w:name="_Ref24353850"/>
      <w:bookmarkStart w:id="22" w:name="_Ref30035621"/>
      <w:bookmarkEnd w:id="10"/>
      <w:r w:rsidRPr="00720F4E">
        <w:rPr>
          <w:rFonts w:ascii="Times New Roman" w:eastAsia="楷体" w:hAnsi="Times New Roman" w:cs="Times New Roman"/>
        </w:rPr>
        <w:t>NIRS and Aon, Evolution and Growth: How Public Pension Plans Have Diversified Their Investments, 2025.</w:t>
      </w:r>
    </w:p>
    <w:p w14:paraId="4E294BD2"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23" w:name="_Ref44148755"/>
      <w:bookmarkStart w:id="24" w:name="_Ref23473781"/>
      <w:bookmarkStart w:id="25" w:name="_Ref33428085"/>
      <w:bookmarkStart w:id="26" w:name="_Ref34723622"/>
      <w:bookmarkStart w:id="27" w:name="_Ref43300390"/>
      <w:bookmarkStart w:id="28" w:name="_Ref84780473"/>
      <w:bookmarkStart w:id="29" w:name="_Ref35413468"/>
      <w:bookmarkStart w:id="30" w:name="_Ref11996537"/>
      <w:bookmarkStart w:id="31" w:name="_Ref60289931"/>
      <w:bookmarkStart w:id="32" w:name="_Ref40336508"/>
      <w:bookmarkEnd w:id="11"/>
      <w:bookmarkEnd w:id="12"/>
      <w:bookmarkEnd w:id="13"/>
      <w:bookmarkEnd w:id="14"/>
      <w:bookmarkEnd w:id="15"/>
      <w:bookmarkEnd w:id="16"/>
      <w:bookmarkEnd w:id="17"/>
      <w:bookmarkEnd w:id="18"/>
      <w:bookmarkEnd w:id="19"/>
      <w:bookmarkEnd w:id="20"/>
      <w:bookmarkEnd w:id="21"/>
      <w:bookmarkEnd w:id="22"/>
      <w:r w:rsidRPr="00720F4E">
        <w:rPr>
          <w:rFonts w:ascii="Times New Roman" w:eastAsia="楷体" w:hAnsi="Times New Roman" w:cs="Times New Roman"/>
        </w:rPr>
        <w:t xml:space="preserve">J. </w:t>
      </w:r>
      <w:proofErr w:type="spellStart"/>
      <w:r w:rsidRPr="00720F4E">
        <w:rPr>
          <w:rFonts w:ascii="Times New Roman" w:eastAsia="楷体" w:hAnsi="Times New Roman" w:cs="Times New Roman"/>
        </w:rPr>
        <w:t>Begenau</w:t>
      </w:r>
      <w:proofErr w:type="spellEnd"/>
      <w:r w:rsidRPr="00720F4E">
        <w:rPr>
          <w:rFonts w:ascii="Times New Roman" w:eastAsia="楷体" w:hAnsi="Times New Roman" w:cs="Times New Roman"/>
        </w:rPr>
        <w:t xml:space="preserve">, P. Liang, and E. </w:t>
      </w:r>
      <w:proofErr w:type="spellStart"/>
      <w:r w:rsidRPr="00720F4E">
        <w:rPr>
          <w:rFonts w:ascii="Times New Roman" w:eastAsia="楷体" w:hAnsi="Times New Roman" w:cs="Times New Roman"/>
        </w:rPr>
        <w:t>Siriwardane</w:t>
      </w:r>
      <w:proofErr w:type="spellEnd"/>
      <w:r w:rsidRPr="00720F4E">
        <w:rPr>
          <w:rFonts w:ascii="Times New Roman" w:eastAsia="楷体" w:hAnsi="Times New Roman" w:cs="Times New Roman"/>
        </w:rPr>
        <w:t>, “The Rise of Alternatives,” Harvard Business School Working Paper, 2024.</w:t>
      </w:r>
    </w:p>
    <w:p w14:paraId="214E8DFC"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33" w:name="_Ref82380617"/>
      <w:bookmarkStart w:id="34" w:name="_Ref81135374"/>
      <w:bookmarkEnd w:id="23"/>
      <w:bookmarkEnd w:id="24"/>
      <w:bookmarkEnd w:id="25"/>
      <w:bookmarkEnd w:id="26"/>
      <w:bookmarkEnd w:id="27"/>
      <w:bookmarkEnd w:id="28"/>
      <w:bookmarkEnd w:id="29"/>
      <w:bookmarkEnd w:id="30"/>
      <w:bookmarkEnd w:id="31"/>
      <w:bookmarkEnd w:id="32"/>
      <w:r w:rsidRPr="00720F4E">
        <w:rPr>
          <w:rFonts w:ascii="Times New Roman" w:eastAsia="楷体" w:hAnsi="Times New Roman" w:cs="Times New Roman"/>
        </w:rPr>
        <w:t>国务院</w:t>
      </w:r>
      <w:r w:rsidRPr="00720F4E">
        <w:rPr>
          <w:rFonts w:ascii="Times New Roman" w:eastAsia="楷体" w:hAnsi="Times New Roman" w:cs="Times New Roman"/>
        </w:rPr>
        <w:t xml:space="preserve">, </w:t>
      </w:r>
      <w:r w:rsidRPr="00720F4E">
        <w:rPr>
          <w:rFonts w:ascii="Times New Roman" w:eastAsia="楷体" w:hAnsi="Times New Roman" w:cs="Times New Roman"/>
        </w:rPr>
        <w:t>《基本养老保险基金投资管理办法》</w:t>
      </w:r>
      <w:r w:rsidRPr="00720F4E">
        <w:rPr>
          <w:rFonts w:ascii="Times New Roman" w:eastAsia="楷体" w:hAnsi="Times New Roman" w:cs="Times New Roman"/>
        </w:rPr>
        <w:t xml:space="preserve">, </w:t>
      </w:r>
      <w:r w:rsidRPr="00720F4E">
        <w:rPr>
          <w:rFonts w:ascii="Times New Roman" w:eastAsia="楷体" w:hAnsi="Times New Roman" w:cs="Times New Roman"/>
        </w:rPr>
        <w:t>国发〔</w:t>
      </w:r>
      <w:r w:rsidRPr="00720F4E">
        <w:rPr>
          <w:rFonts w:ascii="Times New Roman" w:eastAsia="楷体" w:hAnsi="Times New Roman" w:cs="Times New Roman"/>
        </w:rPr>
        <w:t>2015</w:t>
      </w:r>
      <w:r w:rsidRPr="00720F4E">
        <w:rPr>
          <w:rFonts w:ascii="Times New Roman" w:eastAsia="楷体" w:hAnsi="Times New Roman" w:cs="Times New Roman"/>
        </w:rPr>
        <w:t>〕</w:t>
      </w:r>
      <w:r w:rsidRPr="00720F4E">
        <w:rPr>
          <w:rFonts w:ascii="Times New Roman" w:eastAsia="楷体" w:hAnsi="Times New Roman" w:cs="Times New Roman"/>
        </w:rPr>
        <w:t>48</w:t>
      </w:r>
      <w:r w:rsidRPr="00720F4E">
        <w:rPr>
          <w:rFonts w:ascii="Times New Roman" w:eastAsia="楷体" w:hAnsi="Times New Roman" w:cs="Times New Roman"/>
        </w:rPr>
        <w:t>号</w:t>
      </w:r>
      <w:r w:rsidRPr="00720F4E">
        <w:rPr>
          <w:rFonts w:ascii="Times New Roman" w:eastAsia="楷体" w:hAnsi="Times New Roman" w:cs="Times New Roman"/>
        </w:rPr>
        <w:t>, 2015.</w:t>
      </w:r>
    </w:p>
    <w:p w14:paraId="5DA9B617"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35" w:name="_Ref42587471"/>
      <w:bookmarkStart w:id="36" w:name="_Ref5115336"/>
      <w:bookmarkStart w:id="37" w:name="_Ref13224185"/>
      <w:bookmarkStart w:id="38" w:name="_Ref87266475"/>
      <w:bookmarkEnd w:id="33"/>
      <w:bookmarkEnd w:id="34"/>
      <w:r w:rsidRPr="00720F4E">
        <w:rPr>
          <w:rFonts w:ascii="Times New Roman" w:eastAsia="楷体" w:hAnsi="Times New Roman" w:cs="Times New Roman"/>
        </w:rPr>
        <w:t>李晓琴</w:t>
      </w:r>
      <w:r w:rsidRPr="00720F4E">
        <w:rPr>
          <w:rFonts w:ascii="Times New Roman" w:eastAsia="楷体" w:hAnsi="Times New Roman" w:cs="Times New Roman"/>
        </w:rPr>
        <w:t xml:space="preserve">, </w:t>
      </w:r>
      <w:r w:rsidRPr="00720F4E">
        <w:rPr>
          <w:rFonts w:ascii="Times New Roman" w:eastAsia="楷体" w:hAnsi="Times New Roman" w:cs="Times New Roman"/>
        </w:rPr>
        <w:t>王建国</w:t>
      </w:r>
      <w:r w:rsidRPr="00720F4E">
        <w:rPr>
          <w:rFonts w:ascii="Times New Roman" w:eastAsia="楷体" w:hAnsi="Times New Roman" w:cs="Times New Roman"/>
        </w:rPr>
        <w:t>, “</w:t>
      </w:r>
      <w:r w:rsidRPr="00720F4E">
        <w:rPr>
          <w:rFonts w:ascii="Times New Roman" w:eastAsia="楷体" w:hAnsi="Times New Roman" w:cs="Times New Roman"/>
        </w:rPr>
        <w:t>养老制度与融资问题研究</w:t>
      </w:r>
      <w:r w:rsidRPr="00720F4E">
        <w:rPr>
          <w:rFonts w:ascii="Times New Roman" w:eastAsia="楷体" w:hAnsi="Times New Roman" w:cs="Times New Roman"/>
        </w:rPr>
        <w:t xml:space="preserve">”, </w:t>
      </w:r>
      <w:r w:rsidRPr="00720F4E">
        <w:rPr>
          <w:rFonts w:ascii="Times New Roman" w:eastAsia="楷体" w:hAnsi="Times New Roman" w:cs="Times New Roman"/>
        </w:rPr>
        <w:t>《中国人口</w:t>
      </w:r>
      <w:r w:rsidRPr="00720F4E">
        <w:rPr>
          <w:rFonts w:ascii="Times New Roman" w:eastAsia="楷体" w:hAnsi="Times New Roman" w:cs="Times New Roman"/>
        </w:rPr>
        <w:t>·</w:t>
      </w:r>
      <w:r w:rsidRPr="00720F4E">
        <w:rPr>
          <w:rFonts w:ascii="Times New Roman" w:eastAsia="楷体" w:hAnsi="Times New Roman" w:cs="Times New Roman"/>
        </w:rPr>
        <w:t>资源与环境》</w:t>
      </w:r>
      <w:r w:rsidRPr="00720F4E">
        <w:rPr>
          <w:rFonts w:ascii="Times New Roman" w:eastAsia="楷体" w:hAnsi="Times New Roman" w:cs="Times New Roman"/>
        </w:rPr>
        <w:t>, 2023(6): 15–23.</w:t>
      </w:r>
    </w:p>
    <w:p w14:paraId="52BB7D60"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39" w:name="_Ref43182206"/>
      <w:bookmarkStart w:id="40" w:name="_Ref43983597"/>
      <w:bookmarkStart w:id="41" w:name="_Ref69182575"/>
      <w:bookmarkEnd w:id="35"/>
      <w:bookmarkEnd w:id="36"/>
      <w:bookmarkEnd w:id="37"/>
      <w:bookmarkEnd w:id="38"/>
      <w:r w:rsidRPr="00720F4E">
        <w:rPr>
          <w:rFonts w:ascii="Times New Roman" w:eastAsia="楷体" w:hAnsi="Times New Roman" w:cs="Times New Roman"/>
        </w:rPr>
        <w:t>World Bank, Population Aging and Pension Systems: Reform Options for China, 2019.</w:t>
      </w:r>
    </w:p>
    <w:p w14:paraId="7DC5B0BA"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42" w:name="_Ref65396553"/>
      <w:bookmarkStart w:id="43" w:name="_Ref28239298"/>
      <w:bookmarkStart w:id="44" w:name="_Ref14784306"/>
      <w:bookmarkEnd w:id="39"/>
      <w:bookmarkEnd w:id="40"/>
      <w:bookmarkEnd w:id="41"/>
      <w:r w:rsidRPr="00720F4E">
        <w:rPr>
          <w:rFonts w:ascii="Times New Roman" w:eastAsia="楷体" w:hAnsi="Times New Roman" w:cs="Times New Roman"/>
        </w:rPr>
        <w:t>中国银行研究院</w:t>
      </w:r>
      <w:r w:rsidRPr="00720F4E">
        <w:rPr>
          <w:rFonts w:ascii="Times New Roman" w:eastAsia="楷体" w:hAnsi="Times New Roman" w:cs="Times New Roman"/>
        </w:rPr>
        <w:t xml:space="preserve">, </w:t>
      </w:r>
      <w:r w:rsidRPr="00720F4E">
        <w:rPr>
          <w:rFonts w:ascii="Times New Roman" w:eastAsia="楷体" w:hAnsi="Times New Roman" w:cs="Times New Roman"/>
        </w:rPr>
        <w:t>《促进我国养老金</w:t>
      </w:r>
      <w:r w:rsidRPr="00720F4E">
        <w:rPr>
          <w:rFonts w:ascii="Times New Roman" w:eastAsia="楷体" w:hAnsi="Times New Roman" w:cs="Times New Roman"/>
        </w:rPr>
        <w:t>“</w:t>
      </w:r>
      <w:r w:rsidRPr="00720F4E">
        <w:rPr>
          <w:rFonts w:ascii="Times New Roman" w:eastAsia="楷体" w:hAnsi="Times New Roman" w:cs="Times New Roman"/>
        </w:rPr>
        <w:t>长钱长投</w:t>
      </w:r>
      <w:r w:rsidRPr="00720F4E">
        <w:rPr>
          <w:rFonts w:ascii="Times New Roman" w:eastAsia="楷体" w:hAnsi="Times New Roman" w:cs="Times New Roman"/>
        </w:rPr>
        <w:t>”</w:t>
      </w:r>
      <w:r w:rsidRPr="00720F4E">
        <w:rPr>
          <w:rFonts w:ascii="Times New Roman" w:eastAsia="楷体" w:hAnsi="Times New Roman" w:cs="Times New Roman"/>
        </w:rPr>
        <w:t>的思考和建议》</w:t>
      </w:r>
      <w:r w:rsidRPr="00720F4E">
        <w:rPr>
          <w:rFonts w:ascii="Times New Roman" w:eastAsia="楷体" w:hAnsi="Times New Roman" w:cs="Times New Roman"/>
        </w:rPr>
        <w:t xml:space="preserve">, </w:t>
      </w:r>
      <w:r w:rsidRPr="00720F4E">
        <w:rPr>
          <w:rFonts w:ascii="Times New Roman" w:eastAsia="楷体" w:hAnsi="Times New Roman" w:cs="Times New Roman"/>
        </w:rPr>
        <w:t>中国银行</w:t>
      </w:r>
      <w:r w:rsidRPr="00720F4E">
        <w:rPr>
          <w:rFonts w:ascii="Times New Roman" w:eastAsia="楷体" w:hAnsi="Times New Roman" w:cs="Times New Roman"/>
        </w:rPr>
        <w:t>, 2025.</w:t>
      </w:r>
    </w:p>
    <w:p w14:paraId="2419BC2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45" w:name="_Ref89863026"/>
      <w:bookmarkStart w:id="46" w:name="_Ref8248693"/>
      <w:bookmarkEnd w:id="42"/>
      <w:bookmarkEnd w:id="43"/>
      <w:bookmarkEnd w:id="44"/>
      <w:r w:rsidRPr="00720F4E">
        <w:rPr>
          <w:rFonts w:ascii="Times New Roman" w:eastAsia="楷体" w:hAnsi="Times New Roman" w:cs="Times New Roman"/>
        </w:rPr>
        <w:t>X. Chen et al., “The Aging Trend of Insureds and Stochastic Evaluation of the Sustainable Development of Basic Pension Insurance,” 2022.</w:t>
      </w:r>
    </w:p>
    <w:p w14:paraId="0A539290"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47" w:name="_Ref60661578"/>
      <w:bookmarkStart w:id="48" w:name="_Ref55952829"/>
      <w:bookmarkStart w:id="49" w:name="_Ref41889989"/>
      <w:bookmarkEnd w:id="45"/>
      <w:bookmarkEnd w:id="46"/>
      <w:r w:rsidRPr="00720F4E">
        <w:rPr>
          <w:rFonts w:ascii="Times New Roman" w:eastAsia="楷体" w:hAnsi="Times New Roman" w:cs="Times New Roman"/>
        </w:rPr>
        <w:t>IMF, A Fiscal Indicator for Assessing First and Second Pillar Pension Sustainability, Staff Discussion Note 11/09, 2011.</w:t>
      </w:r>
    </w:p>
    <w:p w14:paraId="432A5DDA"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50" w:name="_Ref6035906"/>
      <w:bookmarkStart w:id="51" w:name="_Ref3058910"/>
      <w:bookmarkEnd w:id="47"/>
      <w:bookmarkEnd w:id="48"/>
      <w:bookmarkEnd w:id="49"/>
      <w:r w:rsidRPr="00720F4E">
        <w:rPr>
          <w:rFonts w:ascii="Times New Roman" w:eastAsia="楷体" w:hAnsi="Times New Roman" w:cs="Times New Roman"/>
        </w:rPr>
        <w:t>H. Fang and J. Feng, “The Chinese Pension System,” Pension Research Council Working Paper, Wharton School, 2018.</w:t>
      </w:r>
    </w:p>
    <w:p w14:paraId="4B5F4F3C"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52" w:name="_Ref69706267"/>
      <w:bookmarkStart w:id="53" w:name="_Ref96029150"/>
      <w:bookmarkEnd w:id="50"/>
      <w:bookmarkEnd w:id="51"/>
      <w:r w:rsidRPr="00720F4E">
        <w:rPr>
          <w:rFonts w:ascii="Times New Roman" w:eastAsia="楷体" w:hAnsi="Times New Roman" w:cs="Times New Roman"/>
        </w:rPr>
        <w:lastRenderedPageBreak/>
        <w:t>要恒</w:t>
      </w:r>
      <w:r w:rsidRPr="00720F4E">
        <w:rPr>
          <w:rFonts w:ascii="Times New Roman" w:eastAsia="楷体" w:hAnsi="Times New Roman" w:cs="Times New Roman"/>
        </w:rPr>
        <w:t xml:space="preserve">, </w:t>
      </w:r>
      <w:r w:rsidRPr="00720F4E">
        <w:rPr>
          <w:rFonts w:ascii="Times New Roman" w:eastAsia="楷体" w:hAnsi="Times New Roman" w:cs="Times New Roman"/>
        </w:rPr>
        <w:t>《养老保险全国统筹的必要性及其实现路径》</w:t>
      </w:r>
      <w:r w:rsidRPr="00720F4E">
        <w:rPr>
          <w:rFonts w:ascii="Times New Roman" w:eastAsia="楷体" w:hAnsi="Times New Roman" w:cs="Times New Roman"/>
        </w:rPr>
        <w:t xml:space="preserve">, </w:t>
      </w:r>
      <w:r w:rsidRPr="00720F4E">
        <w:rPr>
          <w:rFonts w:ascii="Times New Roman" w:eastAsia="楷体" w:hAnsi="Times New Roman" w:cs="Times New Roman"/>
        </w:rPr>
        <w:t>《人民论坛》</w:t>
      </w:r>
      <w:r w:rsidRPr="00720F4E">
        <w:rPr>
          <w:rFonts w:ascii="Times New Roman" w:eastAsia="楷体" w:hAnsi="Times New Roman" w:cs="Times New Roman"/>
        </w:rPr>
        <w:t>, 2020</w:t>
      </w:r>
      <w:r w:rsidRPr="00720F4E">
        <w:rPr>
          <w:rFonts w:ascii="Times New Roman" w:eastAsia="楷体" w:hAnsi="Times New Roman" w:cs="Times New Roman"/>
        </w:rPr>
        <w:t>年第</w:t>
      </w:r>
      <w:r w:rsidRPr="00720F4E">
        <w:rPr>
          <w:rFonts w:ascii="Times New Roman" w:eastAsia="楷体" w:hAnsi="Times New Roman" w:cs="Times New Roman"/>
        </w:rPr>
        <w:t>7</w:t>
      </w:r>
      <w:r w:rsidRPr="00720F4E">
        <w:rPr>
          <w:rFonts w:ascii="Times New Roman" w:eastAsia="楷体" w:hAnsi="Times New Roman" w:cs="Times New Roman"/>
        </w:rPr>
        <w:t>期</w:t>
      </w:r>
      <w:r w:rsidRPr="00720F4E">
        <w:rPr>
          <w:rFonts w:ascii="Times New Roman" w:eastAsia="楷体" w:hAnsi="Times New Roman" w:cs="Times New Roman"/>
        </w:rPr>
        <w:t>.</w:t>
      </w:r>
    </w:p>
    <w:p w14:paraId="226F7EE0"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54" w:name="_Ref85316116"/>
      <w:bookmarkStart w:id="55" w:name="_Ref62708211"/>
      <w:bookmarkEnd w:id="52"/>
      <w:bookmarkEnd w:id="53"/>
      <w:r w:rsidRPr="00720F4E">
        <w:rPr>
          <w:rFonts w:ascii="Times New Roman" w:eastAsia="楷体" w:hAnsi="Times New Roman" w:cs="Times New Roman"/>
        </w:rPr>
        <w:t>N. Barr and P. Diamond, “Reforming Pensions: Principles, Analytical Errors and Policy Directions,” International Social Security Review, 2009.</w:t>
      </w:r>
    </w:p>
    <w:p w14:paraId="2A631531"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56" w:name="_Ref38394779"/>
      <w:bookmarkStart w:id="57" w:name="_Ref58512199"/>
      <w:bookmarkStart w:id="58" w:name="_Ref23086697"/>
      <w:bookmarkEnd w:id="54"/>
      <w:bookmarkEnd w:id="55"/>
      <w:r w:rsidRPr="00720F4E">
        <w:rPr>
          <w:rFonts w:ascii="Times New Roman" w:eastAsia="楷体" w:hAnsi="Times New Roman" w:cs="Times New Roman"/>
        </w:rPr>
        <w:t>N. Barr and P. Diamond, Reforming Pensions: Principles and Policy Choices, Oxford University Press, 2008.</w:t>
      </w:r>
    </w:p>
    <w:p w14:paraId="3630CD0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59" w:name="_Ref64662886"/>
      <w:bookmarkStart w:id="60" w:name="_Ref69421929"/>
      <w:bookmarkStart w:id="61" w:name="_Ref6629479"/>
      <w:bookmarkStart w:id="62" w:name="_Ref66817743"/>
      <w:bookmarkEnd w:id="56"/>
      <w:bookmarkEnd w:id="57"/>
      <w:bookmarkEnd w:id="58"/>
      <w:r w:rsidRPr="00720F4E">
        <w:rPr>
          <w:rFonts w:ascii="Times New Roman" w:eastAsia="楷体" w:hAnsi="Times New Roman" w:cs="Times New Roman"/>
        </w:rPr>
        <w:t>R. Holzmann and R. Hinz, Old-Age Income Support in the 21st Century, World Bank, 2005.</w:t>
      </w:r>
    </w:p>
    <w:p w14:paraId="093618F4"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3" w:name="_Ref87884116"/>
      <w:bookmarkEnd w:id="59"/>
      <w:bookmarkEnd w:id="60"/>
      <w:bookmarkEnd w:id="61"/>
      <w:bookmarkEnd w:id="62"/>
      <w:r w:rsidRPr="00720F4E">
        <w:rPr>
          <w:rFonts w:ascii="Times New Roman" w:eastAsia="楷体" w:hAnsi="Times New Roman" w:cs="Times New Roman"/>
        </w:rPr>
        <w:t>J. Díaz-Giménez et al., “Public Pension Reforms: Financial and Political Sustainability,” European Economic Review, 2025.</w:t>
      </w:r>
    </w:p>
    <w:p w14:paraId="7B67FDD6"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4" w:name="_Ref51535887"/>
      <w:bookmarkStart w:id="65" w:name="_Ref79275644"/>
      <w:bookmarkEnd w:id="63"/>
      <w:r w:rsidRPr="00720F4E">
        <w:rPr>
          <w:rFonts w:ascii="Times New Roman" w:eastAsia="楷体" w:hAnsi="Times New Roman" w:cs="Times New Roman"/>
        </w:rPr>
        <w:t>祁玉良</w:t>
      </w:r>
      <w:r w:rsidRPr="00720F4E">
        <w:rPr>
          <w:rFonts w:ascii="Times New Roman" w:eastAsia="楷体" w:hAnsi="Times New Roman" w:cs="Times New Roman"/>
        </w:rPr>
        <w:t>, “</w:t>
      </w:r>
      <w:r w:rsidRPr="00720F4E">
        <w:rPr>
          <w:rFonts w:ascii="Times New Roman" w:eastAsia="楷体" w:hAnsi="Times New Roman" w:cs="Times New Roman"/>
        </w:rPr>
        <w:t>基本养老保险基金财政支出优化与可持续性研究</w:t>
      </w:r>
      <w:r w:rsidRPr="00720F4E">
        <w:rPr>
          <w:rFonts w:ascii="Times New Roman" w:eastAsia="楷体" w:hAnsi="Times New Roman" w:cs="Times New Roman"/>
        </w:rPr>
        <w:t xml:space="preserve">”, </w:t>
      </w:r>
      <w:r w:rsidRPr="00720F4E">
        <w:rPr>
          <w:rFonts w:ascii="Times New Roman" w:eastAsia="楷体" w:hAnsi="Times New Roman" w:cs="Times New Roman"/>
        </w:rPr>
        <w:t>《宏观经济研究》</w:t>
      </w:r>
      <w:r w:rsidRPr="00720F4E">
        <w:rPr>
          <w:rFonts w:ascii="Times New Roman" w:eastAsia="楷体" w:hAnsi="Times New Roman" w:cs="Times New Roman"/>
        </w:rPr>
        <w:t>, 2022(5): 90–99.</w:t>
      </w:r>
    </w:p>
    <w:p w14:paraId="5F81F998"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6" w:name="_Ref97394568"/>
      <w:bookmarkEnd w:id="64"/>
      <w:bookmarkEnd w:id="65"/>
      <w:r w:rsidRPr="00720F4E">
        <w:rPr>
          <w:rFonts w:ascii="Times New Roman" w:eastAsia="楷体" w:hAnsi="Times New Roman" w:cs="Times New Roman"/>
        </w:rPr>
        <w:t>IMF, People’s Republic of China: 2024 Article IV Consultation – Staff Report, IMF Country Report, 2024.</w:t>
      </w:r>
    </w:p>
    <w:p w14:paraId="185129FE"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7" w:name="_Ref62778091"/>
      <w:bookmarkEnd w:id="66"/>
      <w:r w:rsidRPr="00720F4E">
        <w:rPr>
          <w:rFonts w:ascii="Times New Roman" w:eastAsia="楷体" w:hAnsi="Times New Roman" w:cs="Times New Roman"/>
        </w:rPr>
        <w:t>University of Toronto, Adapting to an Aging Society: Challenges, Risks, and Reform Options for China’s Pension System, Munk School Policy Paper, 2025.</w:t>
      </w:r>
    </w:p>
    <w:p w14:paraId="7CC4ACB8"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8" w:name="_Ref47932452"/>
      <w:bookmarkEnd w:id="67"/>
      <w:r w:rsidRPr="00720F4E">
        <w:rPr>
          <w:rFonts w:ascii="Times New Roman" w:eastAsia="楷体" w:hAnsi="Times New Roman" w:cs="Times New Roman"/>
        </w:rPr>
        <w:t>X. Yin and Y. Zhao, “An Evaluation of China’s Basic Pension Insurance Benefit Adjustment Policy,” Sustainability, 17(3), 2025.</w:t>
      </w:r>
    </w:p>
    <w:p w14:paraId="2022F892"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69" w:name="_Ref98994029"/>
      <w:bookmarkStart w:id="70" w:name="_Ref9757358"/>
      <w:bookmarkEnd w:id="68"/>
      <w:r w:rsidRPr="00720F4E">
        <w:rPr>
          <w:rFonts w:ascii="Times New Roman" w:eastAsia="楷体" w:hAnsi="Times New Roman" w:cs="Times New Roman"/>
        </w:rPr>
        <w:t>E. H. Verbiest, “Risk and Asset Allocation for Pensions,” SSRN Working Paper, 2023.</w:t>
      </w:r>
    </w:p>
    <w:p w14:paraId="78A6B7E7"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71" w:name="_Ref38153100"/>
      <w:bookmarkStart w:id="72" w:name="_Ref46148247"/>
      <w:bookmarkEnd w:id="69"/>
      <w:bookmarkEnd w:id="70"/>
      <w:r w:rsidRPr="00720F4E">
        <w:rPr>
          <w:rFonts w:ascii="Times New Roman" w:eastAsia="楷体" w:hAnsi="Times New Roman" w:cs="Times New Roman"/>
        </w:rPr>
        <w:t>A. Andonov et al., “Return Expectations of Public Pension Funds,” Review of Financial Studies, 35(8), 2022.</w:t>
      </w:r>
    </w:p>
    <w:p w14:paraId="2EEA01F8"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73" w:name="_Ref44120204"/>
      <w:bookmarkStart w:id="74" w:name="_Ref77055222"/>
      <w:bookmarkStart w:id="75" w:name="_Ref3176928"/>
      <w:bookmarkStart w:id="76" w:name="_Ref76296490"/>
      <w:bookmarkStart w:id="77" w:name="_Ref31718075"/>
      <w:bookmarkStart w:id="78" w:name="_Ref39940625"/>
      <w:bookmarkStart w:id="79" w:name="_Ref19873500"/>
      <w:bookmarkStart w:id="80" w:name="_Ref92538255"/>
      <w:bookmarkStart w:id="81" w:name="_Ref68312299"/>
      <w:bookmarkEnd w:id="71"/>
      <w:bookmarkEnd w:id="72"/>
      <w:r w:rsidRPr="00720F4E">
        <w:rPr>
          <w:rFonts w:ascii="Times New Roman" w:eastAsia="楷体" w:hAnsi="Times New Roman" w:cs="Times New Roman"/>
        </w:rPr>
        <w:t>中国证券投资基金业协会</w:t>
      </w:r>
      <w:r w:rsidRPr="00720F4E">
        <w:rPr>
          <w:rFonts w:ascii="Times New Roman" w:eastAsia="楷体" w:hAnsi="Times New Roman" w:cs="Times New Roman"/>
        </w:rPr>
        <w:t xml:space="preserve">, </w:t>
      </w:r>
      <w:r w:rsidRPr="00720F4E">
        <w:rPr>
          <w:rFonts w:ascii="Times New Roman" w:eastAsia="楷体" w:hAnsi="Times New Roman" w:cs="Times New Roman"/>
        </w:rPr>
        <w:t>《日本政府养老投资基金管理与绩效研究》</w:t>
      </w:r>
      <w:r w:rsidRPr="00720F4E">
        <w:rPr>
          <w:rFonts w:ascii="Times New Roman" w:eastAsia="楷体" w:hAnsi="Times New Roman" w:cs="Times New Roman"/>
        </w:rPr>
        <w:t>, “</w:t>
      </w:r>
      <w:r w:rsidRPr="00720F4E">
        <w:rPr>
          <w:rFonts w:ascii="Times New Roman" w:eastAsia="楷体" w:hAnsi="Times New Roman" w:cs="Times New Roman"/>
        </w:rPr>
        <w:t>声音</w:t>
      </w:r>
      <w:r w:rsidRPr="00720F4E">
        <w:rPr>
          <w:rFonts w:ascii="Times New Roman" w:eastAsia="楷体" w:hAnsi="Times New Roman" w:cs="Times New Roman"/>
        </w:rPr>
        <w:t>”</w:t>
      </w:r>
      <w:r w:rsidRPr="00720F4E">
        <w:rPr>
          <w:rFonts w:ascii="Times New Roman" w:eastAsia="楷体" w:hAnsi="Times New Roman" w:cs="Times New Roman"/>
        </w:rPr>
        <w:t>系列报告</w:t>
      </w:r>
      <w:r w:rsidRPr="00720F4E">
        <w:rPr>
          <w:rFonts w:ascii="Times New Roman" w:eastAsia="楷体" w:hAnsi="Times New Roman" w:cs="Times New Roman"/>
        </w:rPr>
        <w:t>(</w:t>
      </w:r>
      <w:r w:rsidRPr="00720F4E">
        <w:rPr>
          <w:rFonts w:ascii="Times New Roman" w:eastAsia="楷体" w:hAnsi="Times New Roman" w:cs="Times New Roman"/>
        </w:rPr>
        <w:t>第</w:t>
      </w:r>
      <w:r w:rsidRPr="00720F4E">
        <w:rPr>
          <w:rFonts w:ascii="Times New Roman" w:eastAsia="楷体" w:hAnsi="Times New Roman" w:cs="Times New Roman"/>
        </w:rPr>
        <w:t>6</w:t>
      </w:r>
      <w:r w:rsidRPr="00720F4E">
        <w:rPr>
          <w:rFonts w:ascii="Times New Roman" w:eastAsia="楷体" w:hAnsi="Times New Roman" w:cs="Times New Roman"/>
        </w:rPr>
        <w:t>期</w:t>
      </w:r>
      <w:r w:rsidRPr="00720F4E">
        <w:rPr>
          <w:rFonts w:ascii="Times New Roman" w:eastAsia="楷体" w:hAnsi="Times New Roman" w:cs="Times New Roman"/>
        </w:rPr>
        <w:t>), 2021.</w:t>
      </w:r>
    </w:p>
    <w:p w14:paraId="625A540B"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82" w:name="_Ref28526789"/>
      <w:bookmarkStart w:id="83" w:name="_Ref62270832"/>
      <w:bookmarkStart w:id="84" w:name="_Ref59407538"/>
      <w:bookmarkEnd w:id="73"/>
      <w:bookmarkEnd w:id="74"/>
      <w:bookmarkEnd w:id="75"/>
      <w:bookmarkEnd w:id="76"/>
      <w:bookmarkEnd w:id="77"/>
      <w:bookmarkEnd w:id="78"/>
      <w:bookmarkEnd w:id="79"/>
      <w:bookmarkEnd w:id="80"/>
      <w:bookmarkEnd w:id="81"/>
      <w:r w:rsidRPr="00720F4E">
        <w:rPr>
          <w:rFonts w:ascii="Times New Roman" w:eastAsia="楷体" w:hAnsi="Times New Roman" w:cs="Times New Roman"/>
        </w:rPr>
        <w:t>World Bank, Riding the Demographic Wave: Pensions and Aging, 2025.</w:t>
      </w:r>
    </w:p>
    <w:p w14:paraId="3E5718BE"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85" w:name="_Ref56412947"/>
      <w:bookmarkStart w:id="86" w:name="_Ref62094718"/>
      <w:bookmarkEnd w:id="82"/>
      <w:bookmarkEnd w:id="83"/>
      <w:bookmarkEnd w:id="84"/>
      <w:r w:rsidRPr="00720F4E">
        <w:rPr>
          <w:rFonts w:ascii="Times New Roman" w:eastAsia="楷体" w:hAnsi="Times New Roman" w:cs="Times New Roman"/>
        </w:rPr>
        <w:t>中国证券投资基金业协会</w:t>
      </w:r>
      <w:r w:rsidRPr="00720F4E">
        <w:rPr>
          <w:rFonts w:ascii="Times New Roman" w:eastAsia="楷体" w:hAnsi="Times New Roman" w:cs="Times New Roman"/>
        </w:rPr>
        <w:t xml:space="preserve">, </w:t>
      </w:r>
      <w:r w:rsidRPr="00720F4E">
        <w:rPr>
          <w:rFonts w:ascii="Times New Roman" w:eastAsia="楷体" w:hAnsi="Times New Roman" w:cs="Times New Roman"/>
        </w:rPr>
        <w:t>《挪威政府养老金全球基金运作与借鉴》</w:t>
      </w:r>
      <w:r w:rsidRPr="00720F4E">
        <w:rPr>
          <w:rFonts w:ascii="Times New Roman" w:eastAsia="楷体" w:hAnsi="Times New Roman" w:cs="Times New Roman"/>
        </w:rPr>
        <w:t>, “</w:t>
      </w:r>
      <w:r w:rsidRPr="00720F4E">
        <w:rPr>
          <w:rFonts w:ascii="Times New Roman" w:eastAsia="楷体" w:hAnsi="Times New Roman" w:cs="Times New Roman"/>
        </w:rPr>
        <w:t>声音</w:t>
      </w:r>
      <w:r w:rsidRPr="00720F4E">
        <w:rPr>
          <w:rFonts w:ascii="Times New Roman" w:eastAsia="楷体" w:hAnsi="Times New Roman" w:cs="Times New Roman"/>
        </w:rPr>
        <w:t>”</w:t>
      </w:r>
      <w:r w:rsidRPr="00720F4E">
        <w:rPr>
          <w:rFonts w:ascii="Times New Roman" w:eastAsia="楷体" w:hAnsi="Times New Roman" w:cs="Times New Roman"/>
        </w:rPr>
        <w:t>系列报告</w:t>
      </w:r>
      <w:r w:rsidRPr="00720F4E">
        <w:rPr>
          <w:rFonts w:ascii="Times New Roman" w:eastAsia="楷体" w:hAnsi="Times New Roman" w:cs="Times New Roman"/>
        </w:rPr>
        <w:t>(</w:t>
      </w:r>
      <w:r w:rsidRPr="00720F4E">
        <w:rPr>
          <w:rFonts w:ascii="Times New Roman" w:eastAsia="楷体" w:hAnsi="Times New Roman" w:cs="Times New Roman"/>
        </w:rPr>
        <w:t>第</w:t>
      </w:r>
      <w:r w:rsidRPr="00720F4E">
        <w:rPr>
          <w:rFonts w:ascii="Times New Roman" w:eastAsia="楷体" w:hAnsi="Times New Roman" w:cs="Times New Roman"/>
        </w:rPr>
        <w:t>4</w:t>
      </w:r>
      <w:r w:rsidRPr="00720F4E">
        <w:rPr>
          <w:rFonts w:ascii="Times New Roman" w:eastAsia="楷体" w:hAnsi="Times New Roman" w:cs="Times New Roman"/>
        </w:rPr>
        <w:t>期</w:t>
      </w:r>
      <w:r w:rsidRPr="00720F4E">
        <w:rPr>
          <w:rFonts w:ascii="Times New Roman" w:eastAsia="楷体" w:hAnsi="Times New Roman" w:cs="Times New Roman"/>
        </w:rPr>
        <w:t>), 2021.</w:t>
      </w:r>
    </w:p>
    <w:p w14:paraId="2E5CF65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87" w:name="_Ref6028104"/>
      <w:bookmarkEnd w:id="85"/>
      <w:bookmarkEnd w:id="86"/>
      <w:r w:rsidRPr="00720F4E">
        <w:rPr>
          <w:rFonts w:ascii="Times New Roman" w:eastAsia="楷体" w:hAnsi="Times New Roman" w:cs="Times New Roman"/>
        </w:rPr>
        <w:t>程商政</w:t>
      </w:r>
      <w:r w:rsidRPr="00720F4E">
        <w:rPr>
          <w:rFonts w:ascii="Times New Roman" w:eastAsia="楷体" w:hAnsi="Times New Roman" w:cs="Times New Roman"/>
        </w:rPr>
        <w:t xml:space="preserve">, </w:t>
      </w:r>
      <w:r w:rsidRPr="00720F4E">
        <w:rPr>
          <w:rFonts w:ascii="Times New Roman" w:eastAsia="楷体" w:hAnsi="Times New Roman" w:cs="Times New Roman"/>
        </w:rPr>
        <w:t>《挪威主权基金的发展经验及启示》</w:t>
      </w:r>
      <w:r w:rsidRPr="00720F4E">
        <w:rPr>
          <w:rFonts w:ascii="Times New Roman" w:eastAsia="楷体" w:hAnsi="Times New Roman" w:cs="Times New Roman"/>
        </w:rPr>
        <w:t xml:space="preserve">, </w:t>
      </w:r>
      <w:r w:rsidRPr="00720F4E">
        <w:rPr>
          <w:rFonts w:ascii="Times New Roman" w:eastAsia="楷体" w:hAnsi="Times New Roman" w:cs="Times New Roman"/>
        </w:rPr>
        <w:t>《国资报告》</w:t>
      </w:r>
      <w:r w:rsidRPr="00720F4E">
        <w:rPr>
          <w:rFonts w:ascii="Times New Roman" w:eastAsia="楷体" w:hAnsi="Times New Roman" w:cs="Times New Roman"/>
        </w:rPr>
        <w:t>, 2024.</w:t>
      </w:r>
    </w:p>
    <w:p w14:paraId="3F62F56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88" w:name="_Ref94847149"/>
      <w:bookmarkStart w:id="89" w:name="_Ref78243530"/>
      <w:bookmarkStart w:id="90" w:name="_Ref46749455"/>
      <w:bookmarkEnd w:id="87"/>
      <w:r w:rsidRPr="00720F4E">
        <w:rPr>
          <w:rFonts w:ascii="Times New Roman" w:eastAsia="楷体" w:hAnsi="Times New Roman" w:cs="Times New Roman"/>
        </w:rPr>
        <w:t>刘旭</w:t>
      </w:r>
      <w:r w:rsidRPr="00720F4E">
        <w:rPr>
          <w:rFonts w:ascii="Times New Roman" w:eastAsia="楷体" w:hAnsi="Times New Roman" w:cs="Times New Roman"/>
        </w:rPr>
        <w:t>, “</w:t>
      </w:r>
      <w:r w:rsidRPr="00720F4E">
        <w:rPr>
          <w:rFonts w:ascii="Times New Roman" w:eastAsia="楷体" w:hAnsi="Times New Roman" w:cs="Times New Roman"/>
        </w:rPr>
        <w:t>市场化视角下养老基金投资策略</w:t>
      </w:r>
      <w:r w:rsidRPr="00720F4E">
        <w:rPr>
          <w:rFonts w:ascii="Times New Roman" w:eastAsia="楷体" w:hAnsi="Times New Roman" w:cs="Times New Roman"/>
        </w:rPr>
        <w:t xml:space="preserve">”, </w:t>
      </w:r>
      <w:r w:rsidRPr="00720F4E">
        <w:rPr>
          <w:rFonts w:ascii="Times New Roman" w:eastAsia="楷体" w:hAnsi="Times New Roman" w:cs="Times New Roman"/>
        </w:rPr>
        <w:t>《金融研究》</w:t>
      </w:r>
      <w:r w:rsidRPr="00720F4E">
        <w:rPr>
          <w:rFonts w:ascii="Times New Roman" w:eastAsia="楷体" w:hAnsi="Times New Roman" w:cs="Times New Roman"/>
        </w:rPr>
        <w:t>, 2022(7): 110–118.</w:t>
      </w:r>
    </w:p>
    <w:p w14:paraId="526CE75A"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91" w:name="_Ref23874807"/>
      <w:bookmarkStart w:id="92" w:name="_Ref91912812"/>
      <w:bookmarkStart w:id="93" w:name="_Ref6493866"/>
      <w:bookmarkStart w:id="94" w:name="_Ref56519014"/>
      <w:bookmarkStart w:id="95" w:name="_Ref54958892"/>
      <w:bookmarkEnd w:id="88"/>
      <w:bookmarkEnd w:id="89"/>
      <w:bookmarkEnd w:id="90"/>
      <w:r w:rsidRPr="00720F4E">
        <w:rPr>
          <w:rFonts w:ascii="Times New Roman" w:eastAsia="楷体" w:hAnsi="Times New Roman" w:cs="Times New Roman"/>
        </w:rPr>
        <w:t>Mercer &amp; CFA Institute, Mercer Global Pension Index 2023, 2023.</w:t>
      </w:r>
    </w:p>
    <w:p w14:paraId="36F4425C"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96" w:name="_Ref67795080"/>
      <w:bookmarkStart w:id="97" w:name="_Ref85371721"/>
      <w:bookmarkEnd w:id="91"/>
      <w:bookmarkEnd w:id="92"/>
      <w:bookmarkEnd w:id="93"/>
      <w:bookmarkEnd w:id="94"/>
      <w:bookmarkEnd w:id="95"/>
      <w:r w:rsidRPr="00720F4E">
        <w:rPr>
          <w:rFonts w:ascii="Times New Roman" w:eastAsia="楷体" w:hAnsi="Times New Roman" w:cs="Times New Roman"/>
        </w:rPr>
        <w:t>T. Hoang, “Navigating the Public Pension Landscape: An Examination of Investment Practices,” Public Finance and Management, 22(1), 2023.</w:t>
      </w:r>
    </w:p>
    <w:p w14:paraId="53A2950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98" w:name="_Ref40211684"/>
      <w:bookmarkEnd w:id="96"/>
      <w:bookmarkEnd w:id="97"/>
      <w:r w:rsidRPr="00720F4E">
        <w:rPr>
          <w:rFonts w:ascii="Times New Roman" w:eastAsia="楷体" w:hAnsi="Times New Roman" w:cs="Times New Roman"/>
        </w:rPr>
        <w:t>朱文佩</w:t>
      </w:r>
      <w:r w:rsidRPr="00720F4E">
        <w:rPr>
          <w:rFonts w:ascii="Times New Roman" w:eastAsia="楷体" w:hAnsi="Times New Roman" w:cs="Times New Roman"/>
        </w:rPr>
        <w:t xml:space="preserve">, </w:t>
      </w:r>
      <w:r w:rsidRPr="00720F4E">
        <w:rPr>
          <w:rFonts w:ascii="Times New Roman" w:eastAsia="楷体" w:hAnsi="Times New Roman" w:cs="Times New Roman"/>
        </w:rPr>
        <w:t>林义</w:t>
      </w:r>
      <w:r w:rsidRPr="00720F4E">
        <w:rPr>
          <w:rFonts w:ascii="Times New Roman" w:eastAsia="楷体" w:hAnsi="Times New Roman" w:cs="Times New Roman"/>
        </w:rPr>
        <w:t xml:space="preserve">, </w:t>
      </w:r>
      <w:r w:rsidRPr="00720F4E">
        <w:rPr>
          <w:rFonts w:ascii="Times New Roman" w:eastAsia="楷体" w:hAnsi="Times New Roman" w:cs="Times New Roman"/>
        </w:rPr>
        <w:t>《人口老龄化背景下养老金融风险的识别、防范与治理》</w:t>
      </w:r>
      <w:r w:rsidRPr="00720F4E">
        <w:rPr>
          <w:rFonts w:ascii="Times New Roman" w:eastAsia="楷体" w:hAnsi="Times New Roman" w:cs="Times New Roman"/>
        </w:rPr>
        <w:t xml:space="preserve">, </w:t>
      </w:r>
      <w:r w:rsidRPr="00720F4E">
        <w:rPr>
          <w:rFonts w:ascii="Times New Roman" w:eastAsia="楷体" w:hAnsi="Times New Roman" w:cs="Times New Roman"/>
        </w:rPr>
        <w:t>中国社会保障学会课题</w:t>
      </w:r>
      <w:r w:rsidRPr="00720F4E">
        <w:rPr>
          <w:rFonts w:ascii="Times New Roman" w:eastAsia="楷体" w:hAnsi="Times New Roman" w:cs="Times New Roman"/>
        </w:rPr>
        <w:t>, 2023.</w:t>
      </w:r>
    </w:p>
    <w:p w14:paraId="1F3BB33D"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99" w:name="_Ref75105858"/>
      <w:bookmarkEnd w:id="98"/>
      <w:r w:rsidRPr="00720F4E">
        <w:rPr>
          <w:rFonts w:ascii="Times New Roman" w:eastAsia="楷体" w:hAnsi="Times New Roman" w:cs="Times New Roman"/>
        </w:rPr>
        <w:t>J. Alonso-García et al., “Assessing Public Pensions Using Risk Measures,” Scandinavian Actuarial Journal, 2024/2025.</w:t>
      </w:r>
    </w:p>
    <w:p w14:paraId="5057FD81"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00" w:name="_Ref70423335"/>
      <w:bookmarkStart w:id="101" w:name="_Ref5090106"/>
      <w:bookmarkStart w:id="102" w:name="_Ref66669017"/>
      <w:bookmarkStart w:id="103" w:name="_Ref49142671"/>
      <w:bookmarkStart w:id="104" w:name="_Ref49944061"/>
      <w:bookmarkEnd w:id="99"/>
      <w:r w:rsidRPr="00720F4E">
        <w:rPr>
          <w:rFonts w:ascii="Times New Roman" w:eastAsia="楷体" w:hAnsi="Times New Roman" w:cs="Times New Roman"/>
        </w:rPr>
        <w:t>M. Useem and O. S. Mitchell, “Holders of the Public Pension Strings: Governance and Performance of Public Retirement Systems,” in The Economics of Pensions, Cambridge University Press, 1997.</w:t>
      </w:r>
    </w:p>
    <w:p w14:paraId="5AA52F9A"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05" w:name="_Ref7932651"/>
      <w:bookmarkStart w:id="106" w:name="_Ref4146630"/>
      <w:bookmarkStart w:id="107" w:name="_Ref70251703"/>
      <w:bookmarkStart w:id="108" w:name="_Ref94186848"/>
      <w:bookmarkEnd w:id="100"/>
      <w:bookmarkEnd w:id="101"/>
      <w:bookmarkEnd w:id="102"/>
      <w:bookmarkEnd w:id="103"/>
      <w:bookmarkEnd w:id="104"/>
      <w:r w:rsidRPr="00720F4E">
        <w:rPr>
          <w:rFonts w:ascii="Times New Roman" w:eastAsia="楷体" w:hAnsi="Times New Roman" w:cs="Times New Roman"/>
        </w:rPr>
        <w:t>CFA Institute, Pensions in the Age of Artificial Intelligence, CFA Institute Research Foundation, 2024.</w:t>
      </w:r>
    </w:p>
    <w:p w14:paraId="0E201CD0"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09" w:name="_Ref55171025"/>
      <w:bookmarkEnd w:id="105"/>
      <w:bookmarkEnd w:id="106"/>
      <w:bookmarkEnd w:id="107"/>
      <w:bookmarkEnd w:id="108"/>
      <w:r w:rsidRPr="00720F4E">
        <w:rPr>
          <w:rFonts w:ascii="Times New Roman" w:eastAsia="楷体" w:hAnsi="Times New Roman" w:cs="Times New Roman"/>
        </w:rPr>
        <w:t>S. Mitchell, “Public Pension Governance, Funding, and Performance,” Pension Research Council Working Paper, 2005.</w:t>
      </w:r>
    </w:p>
    <w:p w14:paraId="00FE0054"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0" w:name="_Ref4255849"/>
      <w:bookmarkEnd w:id="109"/>
      <w:r w:rsidRPr="00720F4E">
        <w:rPr>
          <w:rFonts w:ascii="Times New Roman" w:eastAsia="楷体" w:hAnsi="Times New Roman" w:cs="Times New Roman"/>
        </w:rPr>
        <w:t>S. Mitchell and R. S. Smith, “Pension Funding in the Public Sector,” Review of Economics and Statistics, 76(2), 1994.</w:t>
      </w:r>
    </w:p>
    <w:p w14:paraId="2B5F42CD"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1" w:name="_Ref27141452"/>
      <w:bookmarkEnd w:id="110"/>
      <w:r w:rsidRPr="00720F4E">
        <w:rPr>
          <w:rFonts w:ascii="Times New Roman" w:eastAsia="楷体" w:hAnsi="Times New Roman" w:cs="Times New Roman"/>
        </w:rPr>
        <w:lastRenderedPageBreak/>
        <w:t>N. Mohan and T. Zhang, “Risk-Taking Behavior for Public Defined Benefit Pension Plans,” Upjohn Institute Working Paper, 2012.</w:t>
      </w:r>
    </w:p>
    <w:p w14:paraId="0092735E"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2" w:name="_Ref78810877"/>
      <w:bookmarkEnd w:id="111"/>
      <w:r w:rsidRPr="00720F4E">
        <w:rPr>
          <w:rFonts w:ascii="Times New Roman" w:eastAsia="楷体" w:hAnsi="Times New Roman" w:cs="Times New Roman"/>
        </w:rPr>
        <w:t>龚平</w:t>
      </w:r>
      <w:r w:rsidRPr="00720F4E">
        <w:rPr>
          <w:rFonts w:ascii="Times New Roman" w:eastAsia="楷体" w:hAnsi="Times New Roman" w:cs="Times New Roman"/>
        </w:rPr>
        <w:t xml:space="preserve">, </w:t>
      </w:r>
      <w:r w:rsidRPr="00720F4E">
        <w:rPr>
          <w:rFonts w:ascii="Times New Roman" w:eastAsia="楷体" w:hAnsi="Times New Roman" w:cs="Times New Roman"/>
        </w:rPr>
        <w:t>何华</w:t>
      </w:r>
      <w:r w:rsidRPr="00720F4E">
        <w:rPr>
          <w:rFonts w:ascii="Times New Roman" w:eastAsia="楷体" w:hAnsi="Times New Roman" w:cs="Times New Roman"/>
        </w:rPr>
        <w:t>, “</w:t>
      </w:r>
      <w:r w:rsidRPr="00720F4E">
        <w:rPr>
          <w:rFonts w:ascii="Times New Roman" w:eastAsia="楷体" w:hAnsi="Times New Roman" w:cs="Times New Roman"/>
        </w:rPr>
        <w:t>养老保险基金投资管理研究</w:t>
      </w:r>
      <w:r w:rsidRPr="00720F4E">
        <w:rPr>
          <w:rFonts w:ascii="Times New Roman" w:eastAsia="楷体" w:hAnsi="Times New Roman" w:cs="Times New Roman"/>
        </w:rPr>
        <w:t xml:space="preserve">”, </w:t>
      </w:r>
      <w:r w:rsidRPr="00720F4E">
        <w:rPr>
          <w:rFonts w:ascii="Times New Roman" w:eastAsia="楷体" w:hAnsi="Times New Roman" w:cs="Times New Roman"/>
        </w:rPr>
        <w:t>《经济问题探索》</w:t>
      </w:r>
      <w:r w:rsidRPr="00720F4E">
        <w:rPr>
          <w:rFonts w:ascii="Times New Roman" w:eastAsia="楷体" w:hAnsi="Times New Roman" w:cs="Times New Roman"/>
        </w:rPr>
        <w:t>, 2023(3): 78–85.</w:t>
      </w:r>
    </w:p>
    <w:p w14:paraId="0D60814E"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3" w:name="_Ref70979726"/>
      <w:bookmarkEnd w:id="112"/>
      <w:r w:rsidRPr="00720F4E">
        <w:rPr>
          <w:rFonts w:ascii="Times New Roman" w:eastAsia="楷体" w:hAnsi="Times New Roman" w:cs="Times New Roman"/>
        </w:rPr>
        <w:t>《金融衍生品助力中长期资金风险管理的应用研究</w:t>
      </w:r>
      <w:r w:rsidRPr="00720F4E">
        <w:rPr>
          <w:rFonts w:ascii="Times New Roman" w:eastAsia="楷体" w:hAnsi="Times New Roman" w:cs="Times New Roman"/>
        </w:rPr>
        <w:t>——</w:t>
      </w:r>
      <w:r w:rsidRPr="00720F4E">
        <w:rPr>
          <w:rFonts w:ascii="Times New Roman" w:eastAsia="楷体" w:hAnsi="Times New Roman" w:cs="Times New Roman"/>
        </w:rPr>
        <w:t>以我国养老金基金运营管理为例》</w:t>
      </w:r>
      <w:r w:rsidRPr="00720F4E">
        <w:rPr>
          <w:rFonts w:ascii="Times New Roman" w:eastAsia="楷体" w:hAnsi="Times New Roman" w:cs="Times New Roman"/>
        </w:rPr>
        <w:t>, 2022.</w:t>
      </w:r>
    </w:p>
    <w:p w14:paraId="4A4D463F"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4" w:name="_Ref80085665"/>
      <w:bookmarkEnd w:id="113"/>
      <w:r w:rsidRPr="00720F4E">
        <w:rPr>
          <w:rFonts w:ascii="Times New Roman" w:eastAsia="楷体" w:hAnsi="Times New Roman" w:cs="Times New Roman"/>
        </w:rPr>
        <w:t>高燕</w:t>
      </w:r>
      <w:r w:rsidRPr="00720F4E">
        <w:rPr>
          <w:rFonts w:ascii="Times New Roman" w:eastAsia="楷体" w:hAnsi="Times New Roman" w:cs="Times New Roman"/>
        </w:rPr>
        <w:t xml:space="preserve">, </w:t>
      </w:r>
      <w:r w:rsidRPr="00720F4E">
        <w:rPr>
          <w:rFonts w:ascii="Times New Roman" w:eastAsia="楷体" w:hAnsi="Times New Roman" w:cs="Times New Roman"/>
        </w:rPr>
        <w:t>李宏</w:t>
      </w:r>
      <w:r w:rsidRPr="00720F4E">
        <w:rPr>
          <w:rFonts w:ascii="Times New Roman" w:eastAsia="楷体" w:hAnsi="Times New Roman" w:cs="Times New Roman"/>
        </w:rPr>
        <w:t>, “</w:t>
      </w:r>
      <w:r w:rsidRPr="00720F4E">
        <w:rPr>
          <w:rFonts w:ascii="Times New Roman" w:eastAsia="楷体" w:hAnsi="Times New Roman" w:cs="Times New Roman"/>
        </w:rPr>
        <w:t>养老金风险管理研究综述</w:t>
      </w:r>
      <w:r w:rsidRPr="00720F4E">
        <w:rPr>
          <w:rFonts w:ascii="Times New Roman" w:eastAsia="楷体" w:hAnsi="Times New Roman" w:cs="Times New Roman"/>
        </w:rPr>
        <w:t xml:space="preserve">”, </w:t>
      </w:r>
      <w:r w:rsidRPr="00720F4E">
        <w:rPr>
          <w:rFonts w:ascii="Times New Roman" w:eastAsia="楷体" w:hAnsi="Times New Roman" w:cs="Times New Roman"/>
        </w:rPr>
        <w:t>《保险研究》</w:t>
      </w:r>
      <w:r w:rsidRPr="00720F4E">
        <w:rPr>
          <w:rFonts w:ascii="Times New Roman" w:eastAsia="楷体" w:hAnsi="Times New Roman" w:cs="Times New Roman"/>
        </w:rPr>
        <w:t>, 2023(12): 102–110.</w:t>
      </w:r>
    </w:p>
    <w:p w14:paraId="118CAF5D"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5" w:name="_Ref33486843"/>
      <w:bookmarkStart w:id="116" w:name="_Ref14228743"/>
      <w:bookmarkEnd w:id="114"/>
      <w:r w:rsidRPr="00720F4E">
        <w:rPr>
          <w:rFonts w:ascii="Times New Roman" w:eastAsia="楷体" w:hAnsi="Times New Roman" w:cs="Times New Roman"/>
        </w:rPr>
        <w:t xml:space="preserve">L. N. Boon, M. </w:t>
      </w:r>
      <w:proofErr w:type="spellStart"/>
      <w:r w:rsidRPr="00720F4E">
        <w:rPr>
          <w:rFonts w:ascii="Times New Roman" w:eastAsia="楷体" w:hAnsi="Times New Roman" w:cs="Times New Roman"/>
        </w:rPr>
        <w:t>Brière</w:t>
      </w:r>
      <w:proofErr w:type="spellEnd"/>
      <w:r w:rsidRPr="00720F4E">
        <w:rPr>
          <w:rFonts w:ascii="Times New Roman" w:eastAsia="楷体" w:hAnsi="Times New Roman" w:cs="Times New Roman"/>
        </w:rPr>
        <w:t>, and S. Rigot, “Regulation and Pension Fund Risk-Taking,” Journal of International Money and Finance, 2018.</w:t>
      </w:r>
    </w:p>
    <w:p w14:paraId="5D303968"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7" w:name="_Ref23487723"/>
      <w:bookmarkEnd w:id="115"/>
      <w:bookmarkEnd w:id="116"/>
      <w:r w:rsidRPr="00720F4E">
        <w:rPr>
          <w:rFonts w:ascii="Times New Roman" w:eastAsia="楷体" w:hAnsi="Times New Roman" w:cs="Times New Roman"/>
        </w:rPr>
        <w:t>N. Mohan and T. Zhang, “Risk-Taking Behavior for Public Defined Benefit Pension Plans,” Upjohn Institute Working Paper, 2012.</w:t>
      </w:r>
    </w:p>
    <w:p w14:paraId="1E17349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8" w:name="_Ref95417815"/>
      <w:bookmarkEnd w:id="117"/>
      <w:r w:rsidRPr="00720F4E">
        <w:rPr>
          <w:rFonts w:ascii="Times New Roman" w:eastAsia="楷体" w:hAnsi="Times New Roman" w:cs="Times New Roman"/>
        </w:rPr>
        <w:t>K. B. Patel and S. I. Sordo Palacios, “UK Pension Market Stress in 2022—Why It Happened…,” Chicago Fed Letter No. 480, 2023.</w:t>
      </w:r>
    </w:p>
    <w:p w14:paraId="7B48FDE2"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19" w:name="_Ref25925756"/>
      <w:bookmarkEnd w:id="118"/>
      <w:r w:rsidRPr="00720F4E">
        <w:rPr>
          <w:rFonts w:ascii="Times New Roman" w:eastAsia="楷体" w:hAnsi="Times New Roman" w:cs="Times New Roman"/>
        </w:rPr>
        <w:t>IMF, People’s Republic of China: 2024 Article IV Consultation – Staff Report, IMF Country Report, 2024.</w:t>
      </w:r>
    </w:p>
    <w:p w14:paraId="3A40CB6D"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20" w:name="_Ref28170246"/>
      <w:bookmarkStart w:id="121" w:name="_Ref74845588"/>
      <w:bookmarkStart w:id="122" w:name="_Ref65978009"/>
      <w:bookmarkStart w:id="123" w:name="_Ref93918943"/>
      <w:bookmarkEnd w:id="119"/>
      <w:r w:rsidRPr="00720F4E">
        <w:rPr>
          <w:rFonts w:ascii="Times New Roman" w:eastAsia="楷体" w:hAnsi="Times New Roman" w:cs="Times New Roman"/>
        </w:rPr>
        <w:t>CFA Institute, Pensions in the Age of Artificial Intelligence, CFA Institute Research Foundation, 2024.</w:t>
      </w:r>
    </w:p>
    <w:p w14:paraId="62C8E60B"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24" w:name="_Ref4909676"/>
      <w:bookmarkStart w:id="125" w:name="_Ref68675148"/>
      <w:bookmarkStart w:id="126" w:name="_Ref58683664"/>
      <w:bookmarkEnd w:id="120"/>
      <w:bookmarkEnd w:id="121"/>
      <w:bookmarkEnd w:id="122"/>
      <w:bookmarkEnd w:id="123"/>
      <w:r w:rsidRPr="00720F4E">
        <w:rPr>
          <w:rFonts w:ascii="Times New Roman" w:eastAsia="楷体" w:hAnsi="Times New Roman" w:cs="Times New Roman"/>
        </w:rPr>
        <w:t>W. Han et al., “The Impact of Digital Economic Development on China’s Pension Insurance Fund Income,” Social Sciences, 2024.</w:t>
      </w:r>
    </w:p>
    <w:p w14:paraId="502E1ED8"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27" w:name="_Ref76487708"/>
      <w:bookmarkEnd w:id="124"/>
      <w:bookmarkEnd w:id="125"/>
      <w:bookmarkEnd w:id="126"/>
      <w:r w:rsidRPr="00720F4E">
        <w:rPr>
          <w:rFonts w:ascii="Times New Roman" w:eastAsia="楷体" w:hAnsi="Times New Roman" w:cs="Times New Roman"/>
        </w:rPr>
        <w:t>杨彦</w:t>
      </w:r>
      <w:r w:rsidRPr="00720F4E">
        <w:rPr>
          <w:rFonts w:ascii="Times New Roman" w:eastAsia="楷体" w:hAnsi="Times New Roman" w:cs="Times New Roman"/>
        </w:rPr>
        <w:t>, “</w:t>
      </w:r>
      <w:r w:rsidRPr="00720F4E">
        <w:rPr>
          <w:rFonts w:ascii="Times New Roman" w:eastAsia="楷体" w:hAnsi="Times New Roman" w:cs="Times New Roman"/>
        </w:rPr>
        <w:t>数字技术与养老保险基金管理创新</w:t>
      </w:r>
      <w:r w:rsidRPr="00720F4E">
        <w:rPr>
          <w:rFonts w:ascii="Times New Roman" w:eastAsia="楷体" w:hAnsi="Times New Roman" w:cs="Times New Roman"/>
        </w:rPr>
        <w:t xml:space="preserve">”, </w:t>
      </w:r>
      <w:r w:rsidRPr="00720F4E">
        <w:rPr>
          <w:rFonts w:ascii="Times New Roman" w:eastAsia="楷体" w:hAnsi="Times New Roman" w:cs="Times New Roman"/>
        </w:rPr>
        <w:t>《现代财经》</w:t>
      </w:r>
      <w:r w:rsidRPr="00720F4E">
        <w:rPr>
          <w:rFonts w:ascii="Times New Roman" w:eastAsia="楷体" w:hAnsi="Times New Roman" w:cs="Times New Roman"/>
        </w:rPr>
        <w:t>, 2021.</w:t>
      </w:r>
    </w:p>
    <w:p w14:paraId="14621F0F"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28" w:name="_Ref23954481"/>
      <w:bookmarkStart w:id="129" w:name="_Ref92346704"/>
      <w:bookmarkStart w:id="130" w:name="_Ref80938345"/>
      <w:bookmarkStart w:id="131" w:name="_Ref72879791"/>
      <w:bookmarkEnd w:id="127"/>
      <w:r w:rsidRPr="00720F4E">
        <w:rPr>
          <w:rFonts w:ascii="Times New Roman" w:eastAsia="楷体" w:hAnsi="Times New Roman" w:cs="Times New Roman"/>
        </w:rPr>
        <w:t xml:space="preserve">OECD/IOPS, How Can </w:t>
      </w:r>
      <w:proofErr w:type="spellStart"/>
      <w:r w:rsidRPr="00720F4E">
        <w:rPr>
          <w:rFonts w:ascii="Times New Roman" w:eastAsia="楷体" w:hAnsi="Times New Roman" w:cs="Times New Roman"/>
        </w:rPr>
        <w:t>Digitalisation</w:t>
      </w:r>
      <w:proofErr w:type="spellEnd"/>
      <w:r w:rsidRPr="00720F4E">
        <w:rPr>
          <w:rFonts w:ascii="Times New Roman" w:eastAsia="楷体" w:hAnsi="Times New Roman" w:cs="Times New Roman"/>
        </w:rPr>
        <w:t xml:space="preserve"> Make the Supervision of Pension Plans More </w:t>
      </w:r>
      <w:proofErr w:type="gramStart"/>
      <w:r w:rsidRPr="00720F4E">
        <w:rPr>
          <w:rFonts w:ascii="Times New Roman" w:eastAsia="楷体" w:hAnsi="Times New Roman" w:cs="Times New Roman"/>
        </w:rPr>
        <w:t>Efficient?,</w:t>
      </w:r>
      <w:proofErr w:type="gramEnd"/>
      <w:r w:rsidRPr="00720F4E">
        <w:rPr>
          <w:rFonts w:ascii="Times New Roman" w:eastAsia="楷体" w:hAnsi="Times New Roman" w:cs="Times New Roman"/>
        </w:rPr>
        <w:t xml:space="preserve"> IOPS Working Paper No. 40, 2022.</w:t>
      </w:r>
    </w:p>
    <w:p w14:paraId="134E4D15" w14:textId="77777777" w:rsidR="000B71F5" w:rsidRPr="00720F4E"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32" w:name="_Ref4918307"/>
      <w:bookmarkStart w:id="133" w:name="_Ref76306117"/>
      <w:bookmarkEnd w:id="128"/>
      <w:bookmarkEnd w:id="129"/>
      <w:bookmarkEnd w:id="130"/>
      <w:bookmarkEnd w:id="131"/>
      <w:r w:rsidRPr="00720F4E">
        <w:rPr>
          <w:rFonts w:ascii="Times New Roman" w:eastAsia="楷体" w:hAnsi="Times New Roman" w:cs="Times New Roman"/>
        </w:rPr>
        <w:t xml:space="preserve">International </w:t>
      </w:r>
      <w:proofErr w:type="spellStart"/>
      <w:r w:rsidRPr="00720F4E">
        <w:rPr>
          <w:rFonts w:ascii="Times New Roman" w:eastAsia="楷体" w:hAnsi="Times New Roman" w:cs="Times New Roman"/>
        </w:rPr>
        <w:t>Labour</w:t>
      </w:r>
      <w:proofErr w:type="spellEnd"/>
      <w:r w:rsidRPr="00720F4E">
        <w:rPr>
          <w:rFonts w:ascii="Times New Roman" w:eastAsia="楷体" w:hAnsi="Times New Roman" w:cs="Times New Roman"/>
        </w:rPr>
        <w:t xml:space="preserve"> Organization, China’s Pension System, ILO Social Protection Report, 2019.</w:t>
      </w:r>
    </w:p>
    <w:p w14:paraId="75262042" w14:textId="6388EFC2" w:rsidR="00A64EBD" w:rsidRPr="000B71F5" w:rsidRDefault="000B71F5" w:rsidP="000B71F5">
      <w:pPr>
        <w:pStyle w:val="af2"/>
        <w:widowControl w:val="0"/>
        <w:numPr>
          <w:ilvl w:val="0"/>
          <w:numId w:val="14"/>
        </w:numPr>
        <w:autoSpaceDE w:val="0"/>
        <w:autoSpaceDN w:val="0"/>
        <w:adjustRightInd w:val="0"/>
        <w:spacing w:after="0"/>
        <w:ind w:firstLineChars="0"/>
        <w:rPr>
          <w:rFonts w:ascii="Times New Roman" w:eastAsia="楷体" w:hAnsi="Times New Roman" w:cs="Times New Roman"/>
        </w:rPr>
      </w:pPr>
      <w:bookmarkStart w:id="134" w:name="_Ref66743213"/>
      <w:bookmarkEnd w:id="132"/>
      <w:bookmarkEnd w:id="133"/>
      <w:r w:rsidRPr="00720F4E">
        <w:rPr>
          <w:rFonts w:ascii="Times New Roman" w:eastAsia="楷体" w:hAnsi="Times New Roman" w:cs="Times New Roman"/>
        </w:rPr>
        <w:t>T. Hoang, “Navigating the Public Pension Landscape: An Examination of Investment Practices,” Public Finance and Management, 22(1), 2023.</w:t>
      </w:r>
      <w:bookmarkEnd w:id="134"/>
    </w:p>
    <w:sectPr w:rsidR="00A64EBD" w:rsidRPr="000B71F5">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C0E7E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9A2E64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F04412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3DB237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65D4956"/>
    <w:multiLevelType w:val="multilevel"/>
    <w:tmpl w:val="5566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D299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18883C50"/>
    <w:multiLevelType w:val="multilevel"/>
    <w:tmpl w:val="0409001D"/>
    <w:lvl w:ilvl="0">
      <w:start w:val="1"/>
      <w:numFmt w:val="decimal"/>
      <w:lvlText w:val="%1"/>
      <w:lvlJc w:val="left"/>
      <w:pPr>
        <w:ind w:left="1145" w:hanging="425"/>
      </w:pPr>
    </w:lvl>
    <w:lvl w:ilvl="1">
      <w:start w:val="1"/>
      <w:numFmt w:val="decimal"/>
      <w:lvlText w:val="%1.%2"/>
      <w:lvlJc w:val="left"/>
      <w:pPr>
        <w:ind w:left="1712" w:hanging="567"/>
      </w:pPr>
    </w:lvl>
    <w:lvl w:ilvl="2">
      <w:start w:val="1"/>
      <w:numFmt w:val="decimal"/>
      <w:lvlText w:val="%1.%2.%3"/>
      <w:lvlJc w:val="left"/>
      <w:pPr>
        <w:ind w:left="2138" w:hanging="567"/>
      </w:pPr>
    </w:lvl>
    <w:lvl w:ilvl="3">
      <w:start w:val="1"/>
      <w:numFmt w:val="decimal"/>
      <w:lvlText w:val="%1.%2.%3.%4"/>
      <w:lvlJc w:val="left"/>
      <w:pPr>
        <w:ind w:left="2704" w:hanging="708"/>
      </w:pPr>
    </w:lvl>
    <w:lvl w:ilvl="4">
      <w:start w:val="1"/>
      <w:numFmt w:val="decimal"/>
      <w:lvlText w:val="%1.%2.%3.%4.%5"/>
      <w:lvlJc w:val="left"/>
      <w:pPr>
        <w:ind w:left="3271" w:hanging="850"/>
      </w:pPr>
    </w:lvl>
    <w:lvl w:ilvl="5">
      <w:start w:val="1"/>
      <w:numFmt w:val="decimal"/>
      <w:lvlText w:val="%1.%2.%3.%4.%5.%6"/>
      <w:lvlJc w:val="left"/>
      <w:pPr>
        <w:ind w:left="3980" w:hanging="1134"/>
      </w:pPr>
    </w:lvl>
    <w:lvl w:ilvl="6">
      <w:start w:val="1"/>
      <w:numFmt w:val="decimal"/>
      <w:lvlText w:val="%1.%2.%3.%4.%5.%6.%7"/>
      <w:lvlJc w:val="left"/>
      <w:pPr>
        <w:ind w:left="4547" w:hanging="1276"/>
      </w:pPr>
    </w:lvl>
    <w:lvl w:ilvl="7">
      <w:start w:val="1"/>
      <w:numFmt w:val="decimal"/>
      <w:lvlText w:val="%1.%2.%3.%4.%5.%6.%7.%8"/>
      <w:lvlJc w:val="left"/>
      <w:pPr>
        <w:ind w:left="5114" w:hanging="1418"/>
      </w:pPr>
    </w:lvl>
    <w:lvl w:ilvl="8">
      <w:start w:val="1"/>
      <w:numFmt w:val="decimal"/>
      <w:lvlText w:val="%1.%2.%3.%4.%5.%6.%7.%8.%9"/>
      <w:lvlJc w:val="left"/>
      <w:pPr>
        <w:ind w:left="5822" w:hanging="1700"/>
      </w:pPr>
    </w:lvl>
  </w:abstractNum>
  <w:abstractNum w:abstractNumId="7" w15:restartNumberingAfterBreak="0">
    <w:nsid w:val="2F8D70EB"/>
    <w:multiLevelType w:val="hybridMultilevel"/>
    <w:tmpl w:val="CBC85D48"/>
    <w:lvl w:ilvl="0" w:tplc="4734FD5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39E641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C6D61F1"/>
    <w:multiLevelType w:val="hybridMultilevel"/>
    <w:tmpl w:val="866E9FEA"/>
    <w:lvl w:ilvl="0" w:tplc="CD9C93B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C7D550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F804684"/>
    <w:multiLevelType w:val="hybridMultilevel"/>
    <w:tmpl w:val="F260E2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32766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46F22E4"/>
    <w:multiLevelType w:val="hybridMultilevel"/>
    <w:tmpl w:val="6C8CB3DC"/>
    <w:lvl w:ilvl="0" w:tplc="3050BA3E">
      <w:start w:val="1"/>
      <w:numFmt w:val="decimal"/>
      <w:lvlText w:val="[%1]"/>
      <w:lvlJc w:val="left"/>
      <w:pPr>
        <w:ind w:left="440" w:hanging="440"/>
      </w:pPr>
      <w:rPr>
        <w:rFonts w:hint="eastAsia"/>
      </w:rPr>
    </w:lvl>
    <w:lvl w:ilvl="1" w:tplc="9A38F128">
      <w:start w:val="1"/>
      <w:numFmt w:val="upperLetter"/>
      <w:lvlText w:val="%2."/>
      <w:lvlJc w:val="left"/>
      <w:pPr>
        <w:ind w:left="800" w:hanging="360"/>
      </w:pPr>
      <w:rPr>
        <w:rFonts w:hint="default"/>
      </w:rPr>
    </w:lvl>
    <w:lvl w:ilvl="2" w:tplc="B5A2BF62">
      <w:start w:val="15"/>
      <w:numFmt w:val="bullet"/>
      <w:lvlText w:val="%3."/>
      <w:lvlJc w:val="left"/>
      <w:pPr>
        <w:ind w:left="1240" w:hanging="360"/>
      </w:pPr>
      <w:rPr>
        <w:rFonts w:ascii="Wingdings" w:eastAsiaTheme="minorEastAsia" w:hAnsi="Wingdings" w:cs="AppleSystemUIFont"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4751974"/>
    <w:multiLevelType w:val="hybridMultilevel"/>
    <w:tmpl w:val="7A462B60"/>
    <w:lvl w:ilvl="0" w:tplc="3050BA3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5F120F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D2871B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E7E1B75"/>
    <w:multiLevelType w:val="multilevel"/>
    <w:tmpl w:val="0409001D"/>
    <w:lvl w:ilvl="0">
      <w:start w:val="1"/>
      <w:numFmt w:val="decimal"/>
      <w:lvlText w:val="%1"/>
      <w:lvlJc w:val="left"/>
      <w:pPr>
        <w:ind w:left="1145" w:hanging="425"/>
      </w:pPr>
    </w:lvl>
    <w:lvl w:ilvl="1">
      <w:start w:val="1"/>
      <w:numFmt w:val="decimal"/>
      <w:lvlText w:val="%1.%2"/>
      <w:lvlJc w:val="left"/>
      <w:pPr>
        <w:ind w:left="1712" w:hanging="567"/>
      </w:pPr>
    </w:lvl>
    <w:lvl w:ilvl="2">
      <w:start w:val="1"/>
      <w:numFmt w:val="decimal"/>
      <w:lvlText w:val="%1.%2.%3"/>
      <w:lvlJc w:val="left"/>
      <w:pPr>
        <w:ind w:left="2138" w:hanging="567"/>
      </w:pPr>
    </w:lvl>
    <w:lvl w:ilvl="3">
      <w:start w:val="1"/>
      <w:numFmt w:val="decimal"/>
      <w:lvlText w:val="%1.%2.%3.%4"/>
      <w:lvlJc w:val="left"/>
      <w:pPr>
        <w:ind w:left="2704" w:hanging="708"/>
      </w:pPr>
    </w:lvl>
    <w:lvl w:ilvl="4">
      <w:start w:val="1"/>
      <w:numFmt w:val="decimal"/>
      <w:lvlText w:val="%1.%2.%3.%4.%5"/>
      <w:lvlJc w:val="left"/>
      <w:pPr>
        <w:ind w:left="3271" w:hanging="850"/>
      </w:pPr>
    </w:lvl>
    <w:lvl w:ilvl="5">
      <w:start w:val="1"/>
      <w:numFmt w:val="decimal"/>
      <w:lvlText w:val="%1.%2.%3.%4.%5.%6"/>
      <w:lvlJc w:val="left"/>
      <w:pPr>
        <w:ind w:left="3980" w:hanging="1134"/>
      </w:pPr>
    </w:lvl>
    <w:lvl w:ilvl="6">
      <w:start w:val="1"/>
      <w:numFmt w:val="decimal"/>
      <w:lvlText w:val="%1.%2.%3.%4.%5.%6.%7"/>
      <w:lvlJc w:val="left"/>
      <w:pPr>
        <w:ind w:left="4547" w:hanging="1276"/>
      </w:pPr>
    </w:lvl>
    <w:lvl w:ilvl="7">
      <w:start w:val="1"/>
      <w:numFmt w:val="decimal"/>
      <w:lvlText w:val="%1.%2.%3.%4.%5.%6.%7.%8"/>
      <w:lvlJc w:val="left"/>
      <w:pPr>
        <w:ind w:left="5114" w:hanging="1418"/>
      </w:pPr>
    </w:lvl>
    <w:lvl w:ilvl="8">
      <w:start w:val="1"/>
      <w:numFmt w:val="decimal"/>
      <w:lvlText w:val="%1.%2.%3.%4.%5.%6.%7.%8.%9"/>
      <w:lvlJc w:val="left"/>
      <w:pPr>
        <w:ind w:left="5822" w:hanging="1700"/>
      </w:pPr>
    </w:lvl>
  </w:abstractNum>
  <w:abstractNum w:abstractNumId="18" w15:restartNumberingAfterBreak="0">
    <w:nsid w:val="7C1B5C6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697272401">
    <w:abstractNumId w:val="1"/>
  </w:num>
  <w:num w:numId="2" w16cid:durableId="1954969797">
    <w:abstractNumId w:val="2"/>
  </w:num>
  <w:num w:numId="3" w16cid:durableId="918906722">
    <w:abstractNumId w:val="0"/>
  </w:num>
  <w:num w:numId="4" w16cid:durableId="1105424560">
    <w:abstractNumId w:val="14"/>
  </w:num>
  <w:num w:numId="5" w16cid:durableId="573395596">
    <w:abstractNumId w:val="4"/>
  </w:num>
  <w:num w:numId="6" w16cid:durableId="1524512525">
    <w:abstractNumId w:val="10"/>
  </w:num>
  <w:num w:numId="7" w16cid:durableId="851379390">
    <w:abstractNumId w:val="7"/>
  </w:num>
  <w:num w:numId="8" w16cid:durableId="492142296">
    <w:abstractNumId w:val="3"/>
  </w:num>
  <w:num w:numId="9" w16cid:durableId="1562592466">
    <w:abstractNumId w:val="9"/>
  </w:num>
  <w:num w:numId="10" w16cid:durableId="330137184">
    <w:abstractNumId w:val="5"/>
  </w:num>
  <w:num w:numId="11" w16cid:durableId="1497577689">
    <w:abstractNumId w:val="6"/>
  </w:num>
  <w:num w:numId="12" w16cid:durableId="442190036">
    <w:abstractNumId w:val="17"/>
  </w:num>
  <w:num w:numId="13" w16cid:durableId="51194652">
    <w:abstractNumId w:val="18"/>
  </w:num>
  <w:num w:numId="14" w16cid:durableId="1507862808">
    <w:abstractNumId w:val="13"/>
  </w:num>
  <w:num w:numId="15" w16cid:durableId="1228688986">
    <w:abstractNumId w:val="8"/>
  </w:num>
  <w:num w:numId="16" w16cid:durableId="734931046">
    <w:abstractNumId w:val="16"/>
  </w:num>
  <w:num w:numId="17" w16cid:durableId="1231580463">
    <w:abstractNumId w:val="12"/>
  </w:num>
  <w:num w:numId="18" w16cid:durableId="738747264">
    <w:abstractNumId w:val="15"/>
  </w:num>
  <w:num w:numId="19" w16cid:durableId="3726583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F08D9"/>
    <w:rsid w:val="00037711"/>
    <w:rsid w:val="00087745"/>
    <w:rsid w:val="000B465A"/>
    <w:rsid w:val="000B71F5"/>
    <w:rsid w:val="001001CE"/>
    <w:rsid w:val="001450FA"/>
    <w:rsid w:val="00153B86"/>
    <w:rsid w:val="00167353"/>
    <w:rsid w:val="00195763"/>
    <w:rsid w:val="001D0F3A"/>
    <w:rsid w:val="001D1D7D"/>
    <w:rsid w:val="00234C31"/>
    <w:rsid w:val="00243D81"/>
    <w:rsid w:val="0026542C"/>
    <w:rsid w:val="002B3921"/>
    <w:rsid w:val="002C4A71"/>
    <w:rsid w:val="002D020F"/>
    <w:rsid w:val="003746B2"/>
    <w:rsid w:val="00376135"/>
    <w:rsid w:val="003B65D5"/>
    <w:rsid w:val="003C428F"/>
    <w:rsid w:val="003E05F2"/>
    <w:rsid w:val="00473AA9"/>
    <w:rsid w:val="004C54CB"/>
    <w:rsid w:val="005C6E38"/>
    <w:rsid w:val="0060291C"/>
    <w:rsid w:val="006163CC"/>
    <w:rsid w:val="00626E73"/>
    <w:rsid w:val="00651CF7"/>
    <w:rsid w:val="006757FD"/>
    <w:rsid w:val="006E68DF"/>
    <w:rsid w:val="0074217E"/>
    <w:rsid w:val="007A6021"/>
    <w:rsid w:val="007D4673"/>
    <w:rsid w:val="008011A4"/>
    <w:rsid w:val="00803A83"/>
    <w:rsid w:val="00817E63"/>
    <w:rsid w:val="008A38CE"/>
    <w:rsid w:val="008A7B9D"/>
    <w:rsid w:val="008C1EF4"/>
    <w:rsid w:val="008E56AC"/>
    <w:rsid w:val="008F2297"/>
    <w:rsid w:val="00940ED9"/>
    <w:rsid w:val="009F500E"/>
    <w:rsid w:val="00A12F25"/>
    <w:rsid w:val="00A145F8"/>
    <w:rsid w:val="00A64EBD"/>
    <w:rsid w:val="00A8014D"/>
    <w:rsid w:val="00AD1590"/>
    <w:rsid w:val="00AF33AC"/>
    <w:rsid w:val="00B768BC"/>
    <w:rsid w:val="00BB09B2"/>
    <w:rsid w:val="00C41A78"/>
    <w:rsid w:val="00C55F44"/>
    <w:rsid w:val="00CC6516"/>
    <w:rsid w:val="00CD0E9E"/>
    <w:rsid w:val="00D16349"/>
    <w:rsid w:val="00D764FD"/>
    <w:rsid w:val="00D974F8"/>
    <w:rsid w:val="00DF186B"/>
    <w:rsid w:val="00E51C2F"/>
    <w:rsid w:val="00F3341B"/>
    <w:rsid w:val="00F70325"/>
    <w:rsid w:val="00FF0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7829"/>
  <w15:docId w15:val="{6F9237B7-F7F8-C64A-A248-C754B70C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List Bullet"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style>
  <w:style w:type="paragraph" w:styleId="1">
    <w:name w:val="heading 1"/>
    <w:basedOn w:val="a0"/>
    <w:next w:val="a1"/>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1"/>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1"/>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1"/>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1"/>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0"/>
    <w:next w:val="a1"/>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1"/>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0"/>
    <w:next w:val="a1"/>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0"/>
    <w:next w:val="a1"/>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qFormat/>
    <w:pPr>
      <w:spacing w:before="180" w:after="180"/>
    </w:pPr>
  </w:style>
  <w:style w:type="paragraph" w:customStyle="1" w:styleId="FirstParagraph">
    <w:name w:val="First Paragraph"/>
    <w:basedOn w:val="a1"/>
    <w:next w:val="a1"/>
    <w:qFormat/>
  </w:style>
  <w:style w:type="paragraph" w:customStyle="1" w:styleId="Compact">
    <w:name w:val="Compact"/>
    <w:basedOn w:val="a1"/>
    <w:qFormat/>
    <w:pPr>
      <w:spacing w:before="36" w:after="36"/>
    </w:pPr>
  </w:style>
  <w:style w:type="paragraph" w:styleId="a5">
    <w:name w:val="Title"/>
    <w:basedOn w:val="a0"/>
    <w:next w:val="a1"/>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1"/>
    <w:link w:val="a8"/>
    <w:uiPriority w:val="11"/>
    <w:qFormat/>
    <w:rsid w:val="00A10FD9"/>
    <w:pPr>
      <w:numPr>
        <w:ilvl w:val="1"/>
      </w:numPr>
    </w:pPr>
    <w:rPr>
      <w:spacing w:val="15"/>
      <w:sz w:val="28"/>
      <w:szCs w:val="28"/>
    </w:rPr>
  </w:style>
  <w:style w:type="character" w:customStyle="1" w:styleId="a8">
    <w:name w:val="副标题 字符"/>
    <w:basedOn w:val="a2"/>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1"/>
    <w:qFormat/>
    <w:pPr>
      <w:keepNext/>
      <w:keepLines/>
      <w:jc w:val="center"/>
    </w:pPr>
  </w:style>
  <w:style w:type="paragraph" w:styleId="a9">
    <w:name w:val="Date"/>
    <w:next w:val="a1"/>
    <w:qFormat/>
    <w:pPr>
      <w:keepNext/>
      <w:keepLines/>
      <w:jc w:val="center"/>
    </w:pPr>
  </w:style>
  <w:style w:type="paragraph" w:customStyle="1" w:styleId="AbstractTitle">
    <w:name w:val="Abstract Title"/>
    <w:basedOn w:val="a0"/>
    <w:next w:val="Abstract"/>
    <w:qFormat/>
    <w:pPr>
      <w:keepNext/>
      <w:keepLines/>
      <w:spacing w:before="300" w:after="0"/>
      <w:jc w:val="center"/>
    </w:pPr>
    <w:rPr>
      <w:b/>
      <w:sz w:val="20"/>
      <w:szCs w:val="20"/>
    </w:rPr>
  </w:style>
  <w:style w:type="paragraph" w:customStyle="1" w:styleId="Abstract">
    <w:name w:val="Abstract"/>
    <w:basedOn w:val="a0"/>
    <w:next w:val="a1"/>
    <w:qFormat/>
    <w:pPr>
      <w:keepNext/>
      <w:keepLines/>
      <w:spacing w:before="100" w:after="300"/>
    </w:pPr>
    <w:rPr>
      <w:sz w:val="20"/>
      <w:szCs w:val="20"/>
    </w:rPr>
  </w:style>
  <w:style w:type="paragraph" w:styleId="aa">
    <w:name w:val="Bibliography"/>
    <w:basedOn w:val="a0"/>
    <w:qFormat/>
  </w:style>
  <w:style w:type="character" w:customStyle="1" w:styleId="10">
    <w:name w:val="标题 1 字符"/>
    <w:basedOn w:val="a2"/>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2"/>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2"/>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2"/>
    <w:link w:val="4"/>
    <w:uiPriority w:val="9"/>
    <w:semiHidden/>
    <w:rsid w:val="00A10FD9"/>
    <w:rPr>
      <w:rFonts w:eastAsiaTheme="majorEastAsia" w:cstheme="majorBidi"/>
      <w:i/>
      <w:iCs/>
      <w:color w:val="0F4761" w:themeColor="accent1" w:themeShade="BF"/>
    </w:rPr>
  </w:style>
  <w:style w:type="character" w:customStyle="1" w:styleId="50">
    <w:name w:val="标题 5 字符"/>
    <w:basedOn w:val="a2"/>
    <w:link w:val="5"/>
    <w:uiPriority w:val="9"/>
    <w:semiHidden/>
    <w:rsid w:val="00A10FD9"/>
    <w:rPr>
      <w:rFonts w:eastAsiaTheme="majorEastAsia" w:cstheme="majorBidi"/>
      <w:color w:val="0F4761" w:themeColor="accent1" w:themeShade="BF"/>
    </w:rPr>
  </w:style>
  <w:style w:type="character" w:customStyle="1" w:styleId="60">
    <w:name w:val="标题 6 字符"/>
    <w:basedOn w:val="a2"/>
    <w:link w:val="6"/>
    <w:uiPriority w:val="9"/>
    <w:semiHidden/>
    <w:rsid w:val="00A10FD9"/>
    <w:rPr>
      <w:rFonts w:eastAsiaTheme="majorEastAsia" w:cstheme="majorBidi"/>
      <w:i/>
      <w:iCs/>
      <w:color w:val="595959" w:themeColor="text1" w:themeTint="A6"/>
    </w:rPr>
  </w:style>
  <w:style w:type="character" w:customStyle="1" w:styleId="70">
    <w:name w:val="标题 7 字符"/>
    <w:basedOn w:val="a2"/>
    <w:link w:val="7"/>
    <w:uiPriority w:val="9"/>
    <w:semiHidden/>
    <w:rsid w:val="00A10FD9"/>
    <w:rPr>
      <w:rFonts w:eastAsiaTheme="majorEastAsia" w:cstheme="majorBidi"/>
      <w:color w:val="595959" w:themeColor="text1" w:themeTint="A6"/>
    </w:rPr>
  </w:style>
  <w:style w:type="character" w:customStyle="1" w:styleId="80">
    <w:name w:val="标题 8 字符"/>
    <w:basedOn w:val="a2"/>
    <w:link w:val="8"/>
    <w:uiPriority w:val="9"/>
    <w:semiHidden/>
    <w:rsid w:val="00A10FD9"/>
    <w:rPr>
      <w:rFonts w:eastAsiaTheme="majorEastAsia" w:cstheme="majorBidi"/>
      <w:i/>
      <w:iCs/>
      <w:color w:val="272727" w:themeColor="text1" w:themeTint="D8"/>
    </w:rPr>
  </w:style>
  <w:style w:type="character" w:customStyle="1" w:styleId="90">
    <w:name w:val="标题 9 字符"/>
    <w:basedOn w:val="a2"/>
    <w:link w:val="9"/>
    <w:uiPriority w:val="9"/>
    <w:semiHidden/>
    <w:rsid w:val="00A10FD9"/>
    <w:rPr>
      <w:rFonts w:eastAsiaTheme="majorEastAsia" w:cstheme="majorBidi"/>
      <w:color w:val="272727" w:themeColor="text1" w:themeTint="D8"/>
    </w:rPr>
  </w:style>
  <w:style w:type="paragraph" w:styleId="ab">
    <w:name w:val="Block Text"/>
    <w:basedOn w:val="a1"/>
    <w:next w:val="a1"/>
    <w:uiPriority w:val="9"/>
    <w:unhideWhenUsed/>
    <w:qFormat/>
    <w:pPr>
      <w:spacing w:before="100" w:after="100"/>
      <w:ind w:left="480" w:right="480"/>
    </w:pPr>
  </w:style>
  <w:style w:type="paragraph" w:styleId="ac">
    <w:name w:val="footnote text"/>
    <w:basedOn w:val="a0"/>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0"/>
    <w:next w:val="Definition"/>
    <w:pPr>
      <w:keepNext/>
      <w:keepLines/>
      <w:spacing w:after="0"/>
    </w:pPr>
    <w:rPr>
      <w:b/>
    </w:rPr>
  </w:style>
  <w:style w:type="paragraph" w:customStyle="1" w:styleId="Definition">
    <w:name w:val="Definition"/>
    <w:basedOn w:val="a0"/>
  </w:style>
  <w:style w:type="paragraph" w:styleId="ad">
    <w:name w:val="caption"/>
    <w:basedOn w:val="a0"/>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0"/>
  </w:style>
  <w:style w:type="paragraph" w:customStyle="1" w:styleId="CaptionedFigure">
    <w:name w:val="Captioned Figure"/>
    <w:basedOn w:val="Figure"/>
    <w:pPr>
      <w:keepNext/>
    </w:pPr>
  </w:style>
  <w:style w:type="character" w:customStyle="1" w:styleId="ae">
    <w:name w:val="题注 字符"/>
    <w:basedOn w:val="a2"/>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1"/>
    <w:uiPriority w:val="39"/>
    <w:unhideWhenUsed/>
    <w:qFormat/>
    <w:pPr>
      <w:spacing w:before="240" w:line="259" w:lineRule="auto"/>
      <w:outlineLvl w:val="9"/>
    </w:pPr>
  </w:style>
  <w:style w:type="paragraph" w:customStyle="1" w:styleId="SourceCode">
    <w:name w:val="Source Code"/>
    <w:basedOn w:val="a0"/>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
    <w:name w:val="List Bullet"/>
    <w:basedOn w:val="a0"/>
    <w:uiPriority w:val="99"/>
    <w:unhideWhenUsed/>
    <w:rsid w:val="00F3341B"/>
    <w:pPr>
      <w:numPr>
        <w:numId w:val="3"/>
      </w:numPr>
      <w:tabs>
        <w:tab w:val="clear" w:pos="360"/>
      </w:tabs>
      <w:spacing w:line="276" w:lineRule="auto"/>
      <w:ind w:left="0" w:firstLine="0"/>
      <w:contextualSpacing/>
    </w:pPr>
    <w:rPr>
      <w:sz w:val="22"/>
      <w:szCs w:val="22"/>
      <w:lang w:eastAsia="en-US"/>
    </w:rPr>
  </w:style>
  <w:style w:type="paragraph" w:styleId="af1">
    <w:name w:val="Normal (Web)"/>
    <w:basedOn w:val="a0"/>
    <w:uiPriority w:val="99"/>
    <w:unhideWhenUsed/>
    <w:rsid w:val="008C1EF4"/>
    <w:pPr>
      <w:spacing w:before="100" w:beforeAutospacing="1" w:after="100" w:afterAutospacing="1"/>
    </w:pPr>
    <w:rPr>
      <w:rFonts w:ascii="宋体" w:eastAsia="宋体" w:hAnsi="宋体" w:cs="宋体"/>
    </w:rPr>
  </w:style>
  <w:style w:type="paragraph" w:styleId="af2">
    <w:name w:val="List Paragraph"/>
    <w:basedOn w:val="a0"/>
    <w:rsid w:val="008A7B9D"/>
    <w:pPr>
      <w:ind w:firstLineChars="200" w:firstLine="420"/>
    </w:pPr>
  </w:style>
  <w:style w:type="character" w:styleId="af3">
    <w:name w:val="Strong"/>
    <w:basedOn w:val="a2"/>
    <w:uiPriority w:val="22"/>
    <w:qFormat/>
    <w:rsid w:val="00AD1590"/>
    <w:rPr>
      <w:b/>
      <w:bCs/>
    </w:rPr>
  </w:style>
  <w:style w:type="paragraph" w:styleId="af4">
    <w:name w:val="Revision"/>
    <w:hidden/>
    <w:rsid w:val="00F70325"/>
    <w:pPr>
      <w:spacing w:after="0"/>
    </w:pPr>
  </w:style>
  <w:style w:type="character" w:styleId="af5">
    <w:name w:val="Emphasis"/>
    <w:basedOn w:val="a2"/>
    <w:uiPriority w:val="20"/>
    <w:qFormat/>
    <w:rsid w:val="00A64E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83BA289-BB49-F945-8A90-28C03F690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14</Pages>
  <Words>3614</Words>
  <Characters>20606</Characters>
  <Application>Microsoft Office Word</Application>
  <DocSecurity>0</DocSecurity>
  <Lines>171</Lines>
  <Paragraphs>48</Paragraphs>
  <ScaleCrop>false</ScaleCrop>
  <Company/>
  <LinksUpToDate>false</LinksUpToDate>
  <CharactersWithSpaces>24172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Dt Z</cp:lastModifiedBy>
  <cp:revision>59</cp:revision>
  <dcterms:created xsi:type="dcterms:W3CDTF">2025-11-20T19:44:00Z</dcterms:created>
  <dcterms:modified xsi:type="dcterms:W3CDTF">2025-11-25T05:13:00Z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