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1CD4" w14:textId="77777777" w:rsidR="003A111F" w:rsidRPr="003A111F" w:rsidRDefault="003A111F" w:rsidP="003A111F">
      <w:pPr>
        <w:widowControl w:val="0"/>
        <w:numPr>
          <w:ilvl w:val="0"/>
          <w:numId w:val="1"/>
        </w:numPr>
        <w:spacing w:line="134" w:lineRule="exact"/>
        <w:jc w:val="both"/>
        <w:rPr>
          <w:rFonts w:asciiTheme="majorHAnsi" w:eastAsiaTheme="minorEastAsia" w:hAnsiTheme="majorHAnsi" w:cstheme="minorHAnsi"/>
          <w:color w:val="000000" w:themeColor="text1"/>
          <w:kern w:val="2"/>
          <w:sz w:val="13"/>
          <w:szCs w:val="13"/>
        </w:rPr>
      </w:pPr>
      <w:bookmarkStart w:id="0" w:name="OLE_LINK1"/>
      <w:bookmarkStart w:id="1" w:name="OLE_LINK2"/>
      <w:bookmarkStart w:id="2" w:name="OLE_LINK3"/>
      <w:r w:rsidRPr="003A111F">
        <w:rPr>
          <w:rFonts w:asciiTheme="majorHAnsi" w:eastAsiaTheme="minorEastAsia" w:hAnsiTheme="majorHAnsi" w:cstheme="minorHAnsi"/>
          <w:color w:val="000000" w:themeColor="text1"/>
          <w:kern w:val="2"/>
          <w:sz w:val="13"/>
          <w:szCs w:val="13"/>
        </w:rPr>
        <w:t>COBIT and ITIL have been used by information technology professionals in the IT service management (ITSM) space for many years. Used together, COBIT and ITIL provide guidance for the governance and management of IT-related services by enterprises, whether those services are provided in-house or obtained from third parties such as service providers or business partners.</w:t>
      </w:r>
    </w:p>
    <w:p w14:paraId="0C26B847" w14:textId="77777777" w:rsidR="003A111F" w:rsidRPr="003A111F" w:rsidRDefault="003A111F" w:rsidP="003A111F">
      <w:pPr>
        <w:widowControl w:val="0"/>
        <w:numPr>
          <w:ilvl w:val="0"/>
          <w:numId w:val="1"/>
        </w:numPr>
        <w:spacing w:line="134" w:lineRule="exact"/>
        <w:jc w:val="both"/>
        <w:rPr>
          <w:rFonts w:asciiTheme="majorHAnsi" w:eastAsiaTheme="minorEastAsia" w:hAnsiTheme="majorHAnsi" w:cstheme="minorHAnsi"/>
          <w:color w:val="000000" w:themeColor="text1"/>
          <w:kern w:val="2"/>
          <w:sz w:val="13"/>
          <w:szCs w:val="13"/>
        </w:rPr>
      </w:pPr>
      <w:r w:rsidRPr="003A111F">
        <w:rPr>
          <w:rFonts w:asciiTheme="majorHAnsi" w:eastAsiaTheme="minorEastAsia" w:hAnsiTheme="majorHAnsi" w:cstheme="minorHAnsi"/>
          <w:color w:val="000000" w:themeColor="text1"/>
          <w:kern w:val="2"/>
          <w:sz w:val="13"/>
          <w:szCs w:val="13"/>
        </w:rPr>
        <w:t>Enterprises need to govern and manage their information and related technology assets and resources, and those arrangements customarily include both internal and external services to satisfy specific stakeholder needs. COBIT 5 aims primarily to guide enterprises on the implementation, operation and, where required, improvement of their overall arrangements relating to governance and management of enterprise IT (GEIT). ITIL provides guidance and good practice for IT service providers for the execution of IT service management from the perspective of enabling business value.</w:t>
      </w:r>
    </w:p>
    <w:p w14:paraId="4478254E" w14:textId="77777777" w:rsidR="003A111F" w:rsidRPr="003A111F" w:rsidRDefault="003A111F" w:rsidP="003A111F">
      <w:pPr>
        <w:widowControl w:val="0"/>
        <w:numPr>
          <w:ilvl w:val="0"/>
          <w:numId w:val="1"/>
        </w:numPr>
        <w:spacing w:line="134" w:lineRule="exact"/>
        <w:jc w:val="both"/>
        <w:rPr>
          <w:rFonts w:asciiTheme="majorHAnsi" w:eastAsiaTheme="minorEastAsia" w:hAnsiTheme="majorHAnsi" w:cstheme="minorHAnsi"/>
          <w:color w:val="000000" w:themeColor="text1"/>
          <w:kern w:val="2"/>
          <w:sz w:val="13"/>
          <w:szCs w:val="13"/>
        </w:rPr>
      </w:pPr>
      <w:r w:rsidRPr="003A111F">
        <w:rPr>
          <w:rFonts w:asciiTheme="majorHAnsi" w:eastAsiaTheme="minorEastAsia" w:hAnsiTheme="majorHAnsi" w:cstheme="minorHAnsi"/>
          <w:color w:val="000000" w:themeColor="text1"/>
          <w:kern w:val="2"/>
          <w:sz w:val="13"/>
          <w:szCs w:val="13"/>
        </w:rPr>
        <w:t>COBIT 5 describes the principles and enablers that support an enterprise in meeting stakeholder needs, specifically those related to the use of IT assets and resources across the whole enterprise. ITIL describes in more detail those parts of enterprise IT that are the service management enablers (process activities, organizational structures, etc.).</w:t>
      </w:r>
    </w:p>
    <w:p w14:paraId="0C1BA155" w14:textId="3952EA16" w:rsidR="003A111F" w:rsidRPr="003A111F" w:rsidRDefault="003A111F" w:rsidP="003A111F">
      <w:pPr>
        <w:widowControl w:val="0"/>
        <w:numPr>
          <w:ilvl w:val="0"/>
          <w:numId w:val="1"/>
        </w:numPr>
        <w:spacing w:line="134" w:lineRule="exact"/>
        <w:jc w:val="both"/>
        <w:rPr>
          <w:rFonts w:asciiTheme="majorHAnsi" w:eastAsiaTheme="minorEastAsia" w:hAnsiTheme="majorHAnsi" w:cstheme="minorHAnsi"/>
          <w:color w:val="000000" w:themeColor="text1"/>
          <w:kern w:val="2"/>
          <w:sz w:val="13"/>
          <w:szCs w:val="13"/>
        </w:rPr>
      </w:pPr>
      <w:r w:rsidRPr="003A111F">
        <w:rPr>
          <w:rFonts w:asciiTheme="majorHAnsi" w:eastAsiaTheme="minorEastAsia" w:hAnsiTheme="majorHAnsi" w:cstheme="minorHAnsi"/>
          <w:color w:val="000000" w:themeColor="text1"/>
          <w:kern w:val="2"/>
          <w:sz w:val="13"/>
          <w:szCs w:val="13"/>
        </w:rPr>
        <w:t>Generally speaking: COBIT is broader than ITIL in its scope of coverage (GEIT). It is based on five principles (meeting stakeholder needs; covering the enterprise end to end; applying a single, integrated framework; enabling a holistic approach; and separating governance from management) and seven enablers (principles, policies and frameworks; processes; organizational structures; culture, ethics and behavior; information; services, infrastructure and applications; people, skills and competencies).ITIL focuses on ITSM and provides much more in-depth guidance in this area, addressing five stages of the service life cycle:  service strategy, service design, service transition, service operation and continual service improvement.</w:t>
      </w:r>
      <w:r w:rsidRPr="003A111F">
        <w:rPr>
          <w:rFonts w:asciiTheme="majorHAnsi" w:hAnsiTheme="majorHAnsi" w:cstheme="minorHAnsi" w:hint="eastAsia"/>
          <w:b/>
          <w:color w:val="000000" w:themeColor="text1"/>
          <w:sz w:val="13"/>
          <w:szCs w:val="13"/>
        </w:rPr>
        <w:t xml:space="preserve"> </w:t>
      </w:r>
      <w:r w:rsidRPr="003A111F">
        <w:rPr>
          <w:rFonts w:asciiTheme="majorHAnsi" w:eastAsiaTheme="minorEastAsia" w:hAnsiTheme="majorHAnsi" w:cstheme="minorHAnsi"/>
          <w:b/>
          <w:color w:val="000000" w:themeColor="text1"/>
          <w:kern w:val="2"/>
          <w:sz w:val="13"/>
          <w:szCs w:val="13"/>
          <w:u w:val="single"/>
        </w:rPr>
        <w:t>Also</w:t>
      </w:r>
      <w:r w:rsidRPr="003A111F">
        <w:rPr>
          <w:rFonts w:asciiTheme="majorHAnsi" w:eastAsiaTheme="minorEastAsia" w:hAnsiTheme="majorHAnsi" w:cstheme="minorHAnsi"/>
          <w:color w:val="000000" w:themeColor="text1"/>
          <w:kern w:val="2"/>
          <w:sz w:val="13"/>
          <w:szCs w:val="13"/>
        </w:rPr>
        <w:t>, COBIT and ITIL are well aligned in their approach to ITSM. The COBIT 5 Process Reference Model, as documented in </w:t>
      </w:r>
      <w:r>
        <w:rPr>
          <w:rFonts w:asciiTheme="majorHAnsi" w:hAnsiTheme="majorHAnsi" w:cstheme="minorHAnsi"/>
          <w:color w:val="000000" w:themeColor="text1"/>
          <w:sz w:val="13"/>
          <w:szCs w:val="13"/>
        </w:rPr>
        <w:t xml:space="preserve">COBIT </w:t>
      </w:r>
      <w:r>
        <w:rPr>
          <w:rFonts w:asciiTheme="majorHAnsi" w:hAnsiTheme="majorHAnsi" w:cstheme="minorHAnsi" w:hint="eastAsia"/>
          <w:color w:val="000000" w:themeColor="text1"/>
          <w:sz w:val="13"/>
          <w:szCs w:val="13"/>
        </w:rPr>
        <w:t>e</w:t>
      </w:r>
      <w:r w:rsidRPr="003A111F">
        <w:rPr>
          <w:rFonts w:asciiTheme="majorHAnsi" w:eastAsiaTheme="minorEastAsia" w:hAnsiTheme="majorHAnsi" w:cstheme="minorHAnsi"/>
          <w:color w:val="000000" w:themeColor="text1"/>
          <w:kern w:val="2"/>
          <w:sz w:val="13"/>
          <w:szCs w:val="13"/>
        </w:rPr>
        <w:t>nabling Processes, maps closely to the ITIL v3 2011 stages.</w:t>
      </w:r>
      <w:r w:rsidRPr="003A111F">
        <w:rPr>
          <w:rFonts w:asciiTheme="majorHAnsi" w:hAnsiTheme="majorHAnsi" w:cstheme="minorHAnsi" w:hint="eastAsia"/>
          <w:b/>
          <w:color w:val="000000" w:themeColor="text1"/>
          <w:sz w:val="13"/>
          <w:szCs w:val="13"/>
          <w:u w:val="single"/>
        </w:rPr>
        <w:t xml:space="preserve"> </w:t>
      </w:r>
      <w:r w:rsidRPr="003A111F">
        <w:rPr>
          <w:rFonts w:asciiTheme="majorHAnsi" w:eastAsiaTheme="minorEastAsia" w:hAnsiTheme="majorHAnsi" w:cstheme="minorHAnsi"/>
          <w:b/>
          <w:color w:val="000000" w:themeColor="text1"/>
          <w:kern w:val="2"/>
          <w:sz w:val="13"/>
          <w:szCs w:val="13"/>
          <w:u w:val="single"/>
        </w:rPr>
        <w:t>The distinc</w:t>
      </w:r>
      <w:r w:rsidRPr="003A111F">
        <w:rPr>
          <w:rFonts w:asciiTheme="majorHAnsi" w:eastAsiaTheme="minorEastAsia" w:hAnsiTheme="majorHAnsi" w:cstheme="minorHAnsi"/>
          <w:color w:val="000000" w:themeColor="text1"/>
          <w:kern w:val="2"/>
          <w:sz w:val="13"/>
          <w:szCs w:val="13"/>
        </w:rPr>
        <w:t>tion between the two is sometimes described as “COBIT provides the ‘why’; ITIL provides the ‘how.’” While catchy, that view is simplistic and seems to force a false “one or the other” choice. It is more accurate to state that enterprises and IT professionals who need to address business needs in the ITSM area would be well served to consider using both COBIT and ITIL guidance. Leveraging the strengths of both frameworks, and adapting them for their use as appropriate, will aid in solving business problems and supporting business goals achievement.</w:t>
      </w:r>
    </w:p>
    <w:bookmarkEnd w:id="0"/>
    <w:bookmarkEnd w:id="1"/>
    <w:bookmarkEnd w:id="2"/>
    <w:p w14:paraId="376DF4B3" w14:textId="02F85C52" w:rsidR="002502CE" w:rsidRDefault="002502CE" w:rsidP="00A80E12">
      <w:pPr>
        <w:shd w:val="clear" w:color="auto" w:fill="FFFFFF"/>
        <w:spacing w:line="134" w:lineRule="exact"/>
        <w:rPr>
          <w:rFonts w:asciiTheme="majorHAnsi" w:hAnsiTheme="majorHAnsi" w:cs="Arial" w:hint="eastAsia"/>
          <w:sz w:val="13"/>
          <w:szCs w:val="13"/>
        </w:rPr>
      </w:pPr>
    </w:p>
    <w:p w14:paraId="705F2565" w14:textId="77777777" w:rsidR="00A26027" w:rsidRPr="00A26027" w:rsidRDefault="00A26027" w:rsidP="00A26027">
      <w:pPr>
        <w:spacing w:line="134" w:lineRule="exact"/>
        <w:rPr>
          <w:rFonts w:asciiTheme="majorHAnsi" w:eastAsiaTheme="minorEastAsia" w:hAnsiTheme="majorHAnsi" w:cstheme="minorHAnsi"/>
          <w:color w:val="000000" w:themeColor="text1"/>
          <w:kern w:val="2"/>
          <w:sz w:val="13"/>
          <w:szCs w:val="13"/>
        </w:rPr>
      </w:pPr>
      <w:r w:rsidRPr="00A26027">
        <w:rPr>
          <w:rFonts w:asciiTheme="majorHAnsi" w:eastAsiaTheme="minorEastAsia" w:hAnsiTheme="majorHAnsi" w:cstheme="minorHAnsi"/>
          <w:color w:val="000000" w:themeColor="text1"/>
          <w:sz w:val="13"/>
          <w:szCs w:val="13"/>
        </w:rPr>
        <w:t xml:space="preserve">Benefits of playing </w:t>
      </w:r>
      <w:r w:rsidRPr="007A4644">
        <w:rPr>
          <w:rFonts w:asciiTheme="majorHAnsi" w:eastAsiaTheme="minorEastAsia" w:hAnsiTheme="majorHAnsi" w:cstheme="minorHAnsi"/>
          <w:b/>
          <w:color w:val="000000" w:themeColor="text1"/>
          <w:sz w:val="13"/>
          <w:szCs w:val="13"/>
          <w:u w:val="single"/>
        </w:rPr>
        <w:t>planning poke</w:t>
      </w:r>
      <w:r w:rsidRPr="00A26027">
        <w:rPr>
          <w:rFonts w:asciiTheme="majorHAnsi" w:eastAsiaTheme="minorEastAsia" w:hAnsiTheme="majorHAnsi" w:cstheme="minorHAnsi"/>
          <w:color w:val="000000" w:themeColor="text1"/>
          <w:sz w:val="13"/>
          <w:szCs w:val="13"/>
        </w:rPr>
        <w:t>r to estimate</w:t>
      </w:r>
    </w:p>
    <w:p w14:paraId="0CFA6C7D" w14:textId="07AE19D8" w:rsidR="00A26027" w:rsidRDefault="00A26027" w:rsidP="00A26027">
      <w:pPr>
        <w:spacing w:line="134" w:lineRule="exact"/>
        <w:rPr>
          <w:rFonts w:asciiTheme="majorHAnsi" w:hAnsiTheme="majorHAnsi" w:cstheme="minorHAnsi" w:hint="eastAsia"/>
          <w:color w:val="000000" w:themeColor="text1"/>
          <w:sz w:val="13"/>
          <w:szCs w:val="13"/>
        </w:rPr>
      </w:pPr>
      <w:r w:rsidRPr="00A26027">
        <w:rPr>
          <w:rFonts w:asciiTheme="majorHAnsi" w:hAnsiTheme="majorHAnsi" w:cstheme="minorHAnsi"/>
          <w:color w:val="000000" w:themeColor="text1"/>
          <w:sz w:val="13"/>
          <w:szCs w:val="13"/>
        </w:rPr>
        <w:t>It is claimed that using planning poker to estimate will improve the accuracy of a team’s estimation. One reason for this is that the complete team, composed of cross-functional experts, is involved. Additionally, the discussion that takes place during planning poker ensures better understanding by team members. Furthermore, being required to justify your decisions to your peers helps improve accuracy and helps compensate when information is missing. This is important on an agile project because the user stories being estimated are often intentionally vague.</w:t>
      </w:r>
    </w:p>
    <w:p w14:paraId="1EFCF8A9" w14:textId="77777777" w:rsidR="00A26027" w:rsidRPr="00A26027" w:rsidRDefault="00A26027" w:rsidP="00A26027">
      <w:pPr>
        <w:widowControl w:val="0"/>
        <w:spacing w:line="134" w:lineRule="exact"/>
        <w:jc w:val="both"/>
        <w:rPr>
          <w:rFonts w:asciiTheme="majorHAnsi" w:eastAsiaTheme="minorEastAsia" w:hAnsiTheme="majorHAnsi" w:cstheme="minorHAnsi"/>
          <w:color w:val="000000" w:themeColor="text1"/>
          <w:kern w:val="2"/>
          <w:sz w:val="13"/>
          <w:szCs w:val="13"/>
        </w:rPr>
      </w:pPr>
      <w:r w:rsidRPr="00A26027">
        <w:rPr>
          <w:rFonts w:asciiTheme="majorHAnsi" w:eastAsiaTheme="minorEastAsia" w:hAnsiTheme="majorHAnsi" w:cstheme="minorHAnsi"/>
          <w:b/>
          <w:color w:val="000000" w:themeColor="text1"/>
          <w:kern w:val="2"/>
          <w:sz w:val="13"/>
          <w:szCs w:val="13"/>
          <w:u w:val="single"/>
        </w:rPr>
        <w:t>End-to-end</w:t>
      </w:r>
      <w:r w:rsidRPr="00A26027">
        <w:rPr>
          <w:rFonts w:asciiTheme="majorHAnsi" w:eastAsiaTheme="minorEastAsia" w:hAnsiTheme="majorHAnsi" w:cstheme="minorHAnsi"/>
          <w:color w:val="000000" w:themeColor="text1"/>
          <w:kern w:val="2"/>
          <w:sz w:val="13"/>
          <w:szCs w:val="13"/>
        </w:rPr>
        <w:t xml:space="preserve"> experience is what the customer sees, feels, and does when he or she uses your product, device, or service in a real-life situation, from the very beginning to the very end.</w:t>
      </w:r>
    </w:p>
    <w:p w14:paraId="33590584" w14:textId="11425A36" w:rsidR="00A26027" w:rsidRDefault="00A26027" w:rsidP="00A26027">
      <w:pPr>
        <w:spacing w:line="134" w:lineRule="exact"/>
        <w:rPr>
          <w:rFonts w:asciiTheme="majorHAnsi" w:hAnsiTheme="majorHAnsi" w:cstheme="minorHAnsi" w:hint="eastAsia"/>
          <w:color w:val="000000" w:themeColor="text1"/>
          <w:sz w:val="13"/>
          <w:szCs w:val="13"/>
        </w:rPr>
      </w:pPr>
      <w:r w:rsidRPr="00A26027">
        <w:rPr>
          <w:rFonts w:asciiTheme="majorHAnsi" w:eastAsiaTheme="minorEastAsia" w:hAnsiTheme="majorHAnsi" w:cstheme="minorHAnsi"/>
          <w:color w:val="000000" w:themeColor="text1"/>
          <w:kern w:val="2"/>
          <w:sz w:val="13"/>
          <w:szCs w:val="13"/>
        </w:rPr>
        <w:t>Understanding true end-to-end experience requires insight into the customers</w:t>
      </w:r>
      <w:r>
        <w:rPr>
          <w:rFonts w:asciiTheme="majorHAnsi" w:hAnsiTheme="majorHAnsi" w:cstheme="minorHAnsi"/>
          <w:color w:val="000000" w:themeColor="text1"/>
          <w:sz w:val="13"/>
          <w:szCs w:val="13"/>
        </w:rPr>
        <w:t>’</w:t>
      </w:r>
      <w:r w:rsidRPr="00A26027">
        <w:rPr>
          <w:rFonts w:asciiTheme="majorHAnsi" w:eastAsiaTheme="minorEastAsia" w:hAnsiTheme="majorHAnsi" w:cstheme="minorHAnsi"/>
          <w:color w:val="000000" w:themeColor="text1"/>
          <w:kern w:val="2"/>
          <w:sz w:val="13"/>
          <w:szCs w:val="13"/>
        </w:rPr>
        <w:t xml:space="preserve"> motivations and overall situation.</w:t>
      </w:r>
      <w:r>
        <w:rPr>
          <w:rFonts w:asciiTheme="majorHAnsi" w:hAnsiTheme="majorHAnsi" w:cstheme="minorHAnsi" w:hint="eastAsia"/>
          <w:color w:val="000000" w:themeColor="text1"/>
          <w:sz w:val="13"/>
          <w:szCs w:val="13"/>
        </w:rPr>
        <w:t xml:space="preserve"> </w:t>
      </w:r>
      <w:r w:rsidRPr="00A26027">
        <w:rPr>
          <w:rFonts w:asciiTheme="majorHAnsi" w:eastAsiaTheme="minorEastAsia" w:hAnsiTheme="majorHAnsi" w:cstheme="minorHAnsi"/>
          <w:color w:val="000000" w:themeColor="text1"/>
          <w:kern w:val="2"/>
          <w:sz w:val="13"/>
          <w:szCs w:val="13"/>
        </w:rPr>
        <w:t>The big picture helps identify customer needs and opportunities. The big picture is deeply rooted in the real life environment, situation, and motivation that surrounds its use.</w:t>
      </w:r>
      <w:r>
        <w:rPr>
          <w:rFonts w:asciiTheme="majorHAnsi" w:hAnsiTheme="majorHAnsi" w:cstheme="minorHAnsi" w:hint="eastAsia"/>
          <w:color w:val="000000" w:themeColor="text1"/>
          <w:sz w:val="13"/>
          <w:szCs w:val="13"/>
        </w:rPr>
        <w:t xml:space="preserve"> </w:t>
      </w:r>
      <w:r w:rsidRPr="00A26027">
        <w:rPr>
          <w:rFonts w:asciiTheme="majorHAnsi" w:hAnsiTheme="majorHAnsi" w:cstheme="minorHAnsi"/>
          <w:color w:val="000000" w:themeColor="text1"/>
          <w:sz w:val="13"/>
          <w:szCs w:val="13"/>
        </w:rPr>
        <w:t>Optimizing</w:t>
      </w:r>
      <w:r w:rsidRPr="00A26027">
        <w:rPr>
          <w:rFonts w:asciiTheme="majorHAnsi" w:eastAsiaTheme="minorEastAsia" w:hAnsiTheme="majorHAnsi" w:cstheme="minorHAnsi"/>
          <w:color w:val="000000" w:themeColor="text1"/>
          <w:kern w:val="2"/>
          <w:sz w:val="13"/>
          <w:szCs w:val="13"/>
        </w:rPr>
        <w:t xml:space="preserve"> features do not make an experience!</w:t>
      </w:r>
    </w:p>
    <w:p w14:paraId="203F5A17" w14:textId="77777777" w:rsidR="00CD2228" w:rsidRDefault="00CD2228" w:rsidP="00A26027">
      <w:pPr>
        <w:spacing w:line="134" w:lineRule="exact"/>
        <w:rPr>
          <w:rFonts w:asciiTheme="majorHAnsi" w:hAnsiTheme="majorHAnsi" w:cstheme="minorHAnsi" w:hint="eastAsia"/>
          <w:color w:val="000000" w:themeColor="text1"/>
          <w:sz w:val="13"/>
          <w:szCs w:val="13"/>
        </w:rPr>
      </w:pPr>
      <w:bookmarkStart w:id="3" w:name="_GoBack"/>
      <w:bookmarkEnd w:id="3"/>
    </w:p>
    <w:sectPr w:rsidR="00CD2228" w:rsidSect="007E2B8C">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A7030" w14:textId="77777777" w:rsidR="002B3A75" w:rsidRDefault="002B3A75" w:rsidP="00C014F2">
      <w:r>
        <w:separator/>
      </w:r>
    </w:p>
  </w:endnote>
  <w:endnote w:type="continuationSeparator" w:id="0">
    <w:p w14:paraId="25C8254D" w14:textId="77777777" w:rsidR="002B3A75" w:rsidRDefault="002B3A75" w:rsidP="00C0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3B87A" w14:textId="77777777" w:rsidR="002B3A75" w:rsidRDefault="002B3A75" w:rsidP="00C014F2">
      <w:r>
        <w:separator/>
      </w:r>
    </w:p>
  </w:footnote>
  <w:footnote w:type="continuationSeparator" w:id="0">
    <w:p w14:paraId="555503B5" w14:textId="77777777" w:rsidR="002B3A75" w:rsidRDefault="002B3A75" w:rsidP="00C014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971D4"/>
    <w:multiLevelType w:val="multilevel"/>
    <w:tmpl w:val="5CCED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00B90"/>
    <w:multiLevelType w:val="multilevel"/>
    <w:tmpl w:val="9DE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A40CF"/>
    <w:multiLevelType w:val="multilevel"/>
    <w:tmpl w:val="F7A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F6448"/>
    <w:multiLevelType w:val="hybridMultilevel"/>
    <w:tmpl w:val="54584786"/>
    <w:lvl w:ilvl="0" w:tplc="FEF8107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C2E6801"/>
    <w:multiLevelType w:val="multilevel"/>
    <w:tmpl w:val="68F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863F2"/>
    <w:multiLevelType w:val="multilevel"/>
    <w:tmpl w:val="12547F34"/>
    <w:lvl w:ilvl="0">
      <w:start w:val="1"/>
      <w:numFmt w:val="decimal"/>
      <w:suff w:val="space"/>
      <w:lvlText w:val="%1."/>
      <w:lvlJc w:val="left"/>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7499299"/>
    <w:multiLevelType w:val="multilevel"/>
    <w:tmpl w:val="5749929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574992A4"/>
    <w:multiLevelType w:val="multilevel"/>
    <w:tmpl w:val="D898C334"/>
    <w:lvl w:ilvl="0">
      <w:start w:val="1"/>
      <w:numFmt w:val="decimal"/>
      <w:lvlText w:val="%1."/>
      <w:lvlJc w:val="left"/>
      <w:pPr>
        <w:tabs>
          <w:tab w:val="left" w:pos="720"/>
        </w:tabs>
        <w:ind w:left="720" w:hanging="360"/>
      </w:pPr>
      <w:rPr>
        <w:rFonts w:asciiTheme="majorHAnsi" w:eastAsia="宋体" w:hAnsiTheme="majorHAnsi" w:cstheme="minorHAnsi"/>
        <w:b/>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7499328"/>
    <w:multiLevelType w:val="multilevel"/>
    <w:tmpl w:val="5749932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90E42A4"/>
    <w:multiLevelType w:val="multilevel"/>
    <w:tmpl w:val="A47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354C6A"/>
    <w:multiLevelType w:val="hybridMultilevel"/>
    <w:tmpl w:val="B1081A56"/>
    <w:lvl w:ilvl="0" w:tplc="E3F24E28">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1"/>
  </w:num>
  <w:num w:numId="13">
    <w:abstractNumId w:val="10"/>
  </w:num>
  <w:num w:numId="14">
    <w:abstractNumId w:val="2"/>
  </w:num>
  <w:num w:numId="15">
    <w:abstractNumId w:val="5"/>
  </w:num>
  <w:num w:numId="16">
    <w:abstractNumId w:val="0"/>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2D"/>
    <w:rsid w:val="0000364C"/>
    <w:rsid w:val="000109D5"/>
    <w:rsid w:val="00012C63"/>
    <w:rsid w:val="0001359C"/>
    <w:rsid w:val="000163D8"/>
    <w:rsid w:val="0002599D"/>
    <w:rsid w:val="00026B87"/>
    <w:rsid w:val="00030BFE"/>
    <w:rsid w:val="0003238E"/>
    <w:rsid w:val="000325A0"/>
    <w:rsid w:val="000344CF"/>
    <w:rsid w:val="000431C5"/>
    <w:rsid w:val="00045C61"/>
    <w:rsid w:val="00046DA7"/>
    <w:rsid w:val="000478FA"/>
    <w:rsid w:val="00047D7E"/>
    <w:rsid w:val="00050739"/>
    <w:rsid w:val="00051DDA"/>
    <w:rsid w:val="00057809"/>
    <w:rsid w:val="00063EE0"/>
    <w:rsid w:val="00071D65"/>
    <w:rsid w:val="00075209"/>
    <w:rsid w:val="00075680"/>
    <w:rsid w:val="0007741D"/>
    <w:rsid w:val="000828A6"/>
    <w:rsid w:val="00083337"/>
    <w:rsid w:val="0008508D"/>
    <w:rsid w:val="000851A4"/>
    <w:rsid w:val="00093DB6"/>
    <w:rsid w:val="000A21A3"/>
    <w:rsid w:val="000A7975"/>
    <w:rsid w:val="000B178D"/>
    <w:rsid w:val="000B42F7"/>
    <w:rsid w:val="000B5C74"/>
    <w:rsid w:val="000C2D00"/>
    <w:rsid w:val="000D2FCE"/>
    <w:rsid w:val="000D4963"/>
    <w:rsid w:val="000D50EA"/>
    <w:rsid w:val="000E45F2"/>
    <w:rsid w:val="001002D6"/>
    <w:rsid w:val="001026B3"/>
    <w:rsid w:val="00106C16"/>
    <w:rsid w:val="00112622"/>
    <w:rsid w:val="0012010D"/>
    <w:rsid w:val="001335E8"/>
    <w:rsid w:val="00134BFB"/>
    <w:rsid w:val="00140C9B"/>
    <w:rsid w:val="001418E4"/>
    <w:rsid w:val="00142B31"/>
    <w:rsid w:val="00152F8A"/>
    <w:rsid w:val="00164EA3"/>
    <w:rsid w:val="001664F9"/>
    <w:rsid w:val="00174109"/>
    <w:rsid w:val="00177F5D"/>
    <w:rsid w:val="001827D3"/>
    <w:rsid w:val="001864CA"/>
    <w:rsid w:val="001923AA"/>
    <w:rsid w:val="001A109A"/>
    <w:rsid w:val="001A621E"/>
    <w:rsid w:val="001B22D6"/>
    <w:rsid w:val="001C2B50"/>
    <w:rsid w:val="001C65BB"/>
    <w:rsid w:val="001D01DD"/>
    <w:rsid w:val="001D0A93"/>
    <w:rsid w:val="001D14E0"/>
    <w:rsid w:val="001D2E72"/>
    <w:rsid w:val="001D4B31"/>
    <w:rsid w:val="001E100E"/>
    <w:rsid w:val="001F5197"/>
    <w:rsid w:val="001F6C3F"/>
    <w:rsid w:val="002010BE"/>
    <w:rsid w:val="00207949"/>
    <w:rsid w:val="00215258"/>
    <w:rsid w:val="00217F13"/>
    <w:rsid w:val="0022607F"/>
    <w:rsid w:val="002311AD"/>
    <w:rsid w:val="00233CF5"/>
    <w:rsid w:val="002502CE"/>
    <w:rsid w:val="00255D6C"/>
    <w:rsid w:val="0025739B"/>
    <w:rsid w:val="0026536A"/>
    <w:rsid w:val="002663B7"/>
    <w:rsid w:val="00270F7E"/>
    <w:rsid w:val="00271F56"/>
    <w:rsid w:val="00275475"/>
    <w:rsid w:val="002846DC"/>
    <w:rsid w:val="002A1479"/>
    <w:rsid w:val="002A1497"/>
    <w:rsid w:val="002A2F0E"/>
    <w:rsid w:val="002A4A07"/>
    <w:rsid w:val="002A5910"/>
    <w:rsid w:val="002A6754"/>
    <w:rsid w:val="002B22EF"/>
    <w:rsid w:val="002B28F1"/>
    <w:rsid w:val="002B3A75"/>
    <w:rsid w:val="002C6CB0"/>
    <w:rsid w:val="002F5F16"/>
    <w:rsid w:val="00302729"/>
    <w:rsid w:val="00303AD3"/>
    <w:rsid w:val="00313E6A"/>
    <w:rsid w:val="003175F8"/>
    <w:rsid w:val="00321C8A"/>
    <w:rsid w:val="00325890"/>
    <w:rsid w:val="00331C1F"/>
    <w:rsid w:val="00343C80"/>
    <w:rsid w:val="0034527C"/>
    <w:rsid w:val="00345BEA"/>
    <w:rsid w:val="00350D43"/>
    <w:rsid w:val="00354378"/>
    <w:rsid w:val="003575CF"/>
    <w:rsid w:val="00363EB0"/>
    <w:rsid w:val="0037098E"/>
    <w:rsid w:val="00377C9E"/>
    <w:rsid w:val="00383314"/>
    <w:rsid w:val="003953FD"/>
    <w:rsid w:val="00395439"/>
    <w:rsid w:val="003A0656"/>
    <w:rsid w:val="003A0ABB"/>
    <w:rsid w:val="003A111F"/>
    <w:rsid w:val="003A2F22"/>
    <w:rsid w:val="003A528C"/>
    <w:rsid w:val="003A7222"/>
    <w:rsid w:val="003B647B"/>
    <w:rsid w:val="003C671C"/>
    <w:rsid w:val="003C68FD"/>
    <w:rsid w:val="003C72DE"/>
    <w:rsid w:val="003D5057"/>
    <w:rsid w:val="003E017A"/>
    <w:rsid w:val="003E295C"/>
    <w:rsid w:val="003E364F"/>
    <w:rsid w:val="003E4EC6"/>
    <w:rsid w:val="003F37D3"/>
    <w:rsid w:val="003F5F14"/>
    <w:rsid w:val="0041069E"/>
    <w:rsid w:val="00413995"/>
    <w:rsid w:val="00417379"/>
    <w:rsid w:val="00427CA5"/>
    <w:rsid w:val="00433ACA"/>
    <w:rsid w:val="00441D79"/>
    <w:rsid w:val="004457AD"/>
    <w:rsid w:val="00462F76"/>
    <w:rsid w:val="004701A8"/>
    <w:rsid w:val="00471F13"/>
    <w:rsid w:val="004800D6"/>
    <w:rsid w:val="004803B2"/>
    <w:rsid w:val="00484F56"/>
    <w:rsid w:val="004879A7"/>
    <w:rsid w:val="00490D34"/>
    <w:rsid w:val="00493791"/>
    <w:rsid w:val="00497078"/>
    <w:rsid w:val="004A61A3"/>
    <w:rsid w:val="004A74F6"/>
    <w:rsid w:val="004B6840"/>
    <w:rsid w:val="004C1F24"/>
    <w:rsid w:val="004C3D9A"/>
    <w:rsid w:val="004D2B9D"/>
    <w:rsid w:val="004D2D69"/>
    <w:rsid w:val="004D718D"/>
    <w:rsid w:val="004E7577"/>
    <w:rsid w:val="004F57A0"/>
    <w:rsid w:val="004F772E"/>
    <w:rsid w:val="00500194"/>
    <w:rsid w:val="00506FDC"/>
    <w:rsid w:val="00514636"/>
    <w:rsid w:val="005162D2"/>
    <w:rsid w:val="00516A92"/>
    <w:rsid w:val="005246C7"/>
    <w:rsid w:val="005268FA"/>
    <w:rsid w:val="00534054"/>
    <w:rsid w:val="005477CF"/>
    <w:rsid w:val="00560334"/>
    <w:rsid w:val="00561F9C"/>
    <w:rsid w:val="00566435"/>
    <w:rsid w:val="00567EC9"/>
    <w:rsid w:val="00582843"/>
    <w:rsid w:val="00584D34"/>
    <w:rsid w:val="00586885"/>
    <w:rsid w:val="00586DF9"/>
    <w:rsid w:val="0058799D"/>
    <w:rsid w:val="00593099"/>
    <w:rsid w:val="005A1358"/>
    <w:rsid w:val="005A78BF"/>
    <w:rsid w:val="005B0E78"/>
    <w:rsid w:val="005C25BB"/>
    <w:rsid w:val="005C630E"/>
    <w:rsid w:val="005D17F3"/>
    <w:rsid w:val="005D392D"/>
    <w:rsid w:val="005D579B"/>
    <w:rsid w:val="005D6887"/>
    <w:rsid w:val="00611A4E"/>
    <w:rsid w:val="00625E75"/>
    <w:rsid w:val="00626391"/>
    <w:rsid w:val="00631360"/>
    <w:rsid w:val="00632375"/>
    <w:rsid w:val="00636EB7"/>
    <w:rsid w:val="00643A87"/>
    <w:rsid w:val="0064556D"/>
    <w:rsid w:val="00666A42"/>
    <w:rsid w:val="00667783"/>
    <w:rsid w:val="006779AD"/>
    <w:rsid w:val="00682A29"/>
    <w:rsid w:val="00682E16"/>
    <w:rsid w:val="00686E30"/>
    <w:rsid w:val="00690955"/>
    <w:rsid w:val="00692CAD"/>
    <w:rsid w:val="00694004"/>
    <w:rsid w:val="00695C9F"/>
    <w:rsid w:val="00696C0A"/>
    <w:rsid w:val="00696C27"/>
    <w:rsid w:val="006A306C"/>
    <w:rsid w:val="006B6CCE"/>
    <w:rsid w:val="006D2037"/>
    <w:rsid w:val="006D77BF"/>
    <w:rsid w:val="006E240D"/>
    <w:rsid w:val="006F3549"/>
    <w:rsid w:val="006F395D"/>
    <w:rsid w:val="00700C76"/>
    <w:rsid w:val="00701287"/>
    <w:rsid w:val="00703265"/>
    <w:rsid w:val="00714AA7"/>
    <w:rsid w:val="0071733C"/>
    <w:rsid w:val="00720DA9"/>
    <w:rsid w:val="00733A6C"/>
    <w:rsid w:val="007426C9"/>
    <w:rsid w:val="0075311D"/>
    <w:rsid w:val="007557B7"/>
    <w:rsid w:val="00756AF6"/>
    <w:rsid w:val="0076273F"/>
    <w:rsid w:val="007631EB"/>
    <w:rsid w:val="0076460F"/>
    <w:rsid w:val="00764C0A"/>
    <w:rsid w:val="007813D1"/>
    <w:rsid w:val="00787E8E"/>
    <w:rsid w:val="007950E5"/>
    <w:rsid w:val="007972A8"/>
    <w:rsid w:val="007A1E20"/>
    <w:rsid w:val="007A366B"/>
    <w:rsid w:val="007A4644"/>
    <w:rsid w:val="007A67D1"/>
    <w:rsid w:val="007B0C0B"/>
    <w:rsid w:val="007D7956"/>
    <w:rsid w:val="007E2B8C"/>
    <w:rsid w:val="007E586F"/>
    <w:rsid w:val="007F1F7B"/>
    <w:rsid w:val="0080320D"/>
    <w:rsid w:val="00807927"/>
    <w:rsid w:val="00813AF4"/>
    <w:rsid w:val="00814CE0"/>
    <w:rsid w:val="00825375"/>
    <w:rsid w:val="008313B4"/>
    <w:rsid w:val="00835400"/>
    <w:rsid w:val="00837B72"/>
    <w:rsid w:val="00841D14"/>
    <w:rsid w:val="008433C5"/>
    <w:rsid w:val="00846B5C"/>
    <w:rsid w:val="00853FAA"/>
    <w:rsid w:val="00856B56"/>
    <w:rsid w:val="00857704"/>
    <w:rsid w:val="00863FD2"/>
    <w:rsid w:val="0086600E"/>
    <w:rsid w:val="0086778C"/>
    <w:rsid w:val="00875D4F"/>
    <w:rsid w:val="00881AB3"/>
    <w:rsid w:val="008848FB"/>
    <w:rsid w:val="00890A65"/>
    <w:rsid w:val="0089307B"/>
    <w:rsid w:val="008A01EA"/>
    <w:rsid w:val="008A36B1"/>
    <w:rsid w:val="008A768F"/>
    <w:rsid w:val="008B364E"/>
    <w:rsid w:val="008C054E"/>
    <w:rsid w:val="008C61EF"/>
    <w:rsid w:val="008D2B39"/>
    <w:rsid w:val="008D499E"/>
    <w:rsid w:val="008D7C0E"/>
    <w:rsid w:val="008E2D0E"/>
    <w:rsid w:val="008E2ED8"/>
    <w:rsid w:val="008E3966"/>
    <w:rsid w:val="008E7192"/>
    <w:rsid w:val="008F08F9"/>
    <w:rsid w:val="008F1EDB"/>
    <w:rsid w:val="008F5387"/>
    <w:rsid w:val="00900904"/>
    <w:rsid w:val="009065AA"/>
    <w:rsid w:val="009178CC"/>
    <w:rsid w:val="0093087C"/>
    <w:rsid w:val="009401AA"/>
    <w:rsid w:val="0095051C"/>
    <w:rsid w:val="00950B52"/>
    <w:rsid w:val="0096102D"/>
    <w:rsid w:val="009622F1"/>
    <w:rsid w:val="00963AE9"/>
    <w:rsid w:val="00974245"/>
    <w:rsid w:val="00977CA1"/>
    <w:rsid w:val="00981BB7"/>
    <w:rsid w:val="009840EF"/>
    <w:rsid w:val="0099405F"/>
    <w:rsid w:val="009A18A7"/>
    <w:rsid w:val="009B6394"/>
    <w:rsid w:val="009C1AE3"/>
    <w:rsid w:val="009C7AFC"/>
    <w:rsid w:val="00A03909"/>
    <w:rsid w:val="00A04D12"/>
    <w:rsid w:val="00A13E00"/>
    <w:rsid w:val="00A170FC"/>
    <w:rsid w:val="00A24B3C"/>
    <w:rsid w:val="00A24EED"/>
    <w:rsid w:val="00A25F8C"/>
    <w:rsid w:val="00A26027"/>
    <w:rsid w:val="00A26CA8"/>
    <w:rsid w:val="00A27941"/>
    <w:rsid w:val="00A3002E"/>
    <w:rsid w:val="00A32ABA"/>
    <w:rsid w:val="00A40E53"/>
    <w:rsid w:val="00A41587"/>
    <w:rsid w:val="00A42E66"/>
    <w:rsid w:val="00A63E56"/>
    <w:rsid w:val="00A647C4"/>
    <w:rsid w:val="00A66293"/>
    <w:rsid w:val="00A7017E"/>
    <w:rsid w:val="00A713A8"/>
    <w:rsid w:val="00A737B5"/>
    <w:rsid w:val="00A76E33"/>
    <w:rsid w:val="00A80E12"/>
    <w:rsid w:val="00A83C32"/>
    <w:rsid w:val="00A83D5D"/>
    <w:rsid w:val="00A8536D"/>
    <w:rsid w:val="00A86B75"/>
    <w:rsid w:val="00A87DD8"/>
    <w:rsid w:val="00A90CE4"/>
    <w:rsid w:val="00A93E71"/>
    <w:rsid w:val="00A956D8"/>
    <w:rsid w:val="00A97666"/>
    <w:rsid w:val="00AA0490"/>
    <w:rsid w:val="00AA0E8E"/>
    <w:rsid w:val="00AA5F92"/>
    <w:rsid w:val="00AB5482"/>
    <w:rsid w:val="00AB5AD3"/>
    <w:rsid w:val="00AB7FB3"/>
    <w:rsid w:val="00AD2466"/>
    <w:rsid w:val="00AD6319"/>
    <w:rsid w:val="00AE165E"/>
    <w:rsid w:val="00AE22F9"/>
    <w:rsid w:val="00AE5CF6"/>
    <w:rsid w:val="00B12847"/>
    <w:rsid w:val="00B15017"/>
    <w:rsid w:val="00B25573"/>
    <w:rsid w:val="00B31579"/>
    <w:rsid w:val="00B32C2F"/>
    <w:rsid w:val="00B338DE"/>
    <w:rsid w:val="00B425D7"/>
    <w:rsid w:val="00B56BF2"/>
    <w:rsid w:val="00B715E1"/>
    <w:rsid w:val="00B80433"/>
    <w:rsid w:val="00B84BBA"/>
    <w:rsid w:val="00B93FEB"/>
    <w:rsid w:val="00B94129"/>
    <w:rsid w:val="00B95426"/>
    <w:rsid w:val="00B95DCA"/>
    <w:rsid w:val="00BA1EB6"/>
    <w:rsid w:val="00BC1B89"/>
    <w:rsid w:val="00BC4BA3"/>
    <w:rsid w:val="00BC5A4B"/>
    <w:rsid w:val="00BC7BBB"/>
    <w:rsid w:val="00BD53CC"/>
    <w:rsid w:val="00BE3973"/>
    <w:rsid w:val="00BF06E9"/>
    <w:rsid w:val="00BF18BD"/>
    <w:rsid w:val="00C014F2"/>
    <w:rsid w:val="00C06694"/>
    <w:rsid w:val="00C0727E"/>
    <w:rsid w:val="00C13EEB"/>
    <w:rsid w:val="00C1484D"/>
    <w:rsid w:val="00C16F1F"/>
    <w:rsid w:val="00C2103E"/>
    <w:rsid w:val="00C233DF"/>
    <w:rsid w:val="00C249CF"/>
    <w:rsid w:val="00C30F1E"/>
    <w:rsid w:val="00C3654D"/>
    <w:rsid w:val="00C504E9"/>
    <w:rsid w:val="00C70542"/>
    <w:rsid w:val="00C73565"/>
    <w:rsid w:val="00C752EB"/>
    <w:rsid w:val="00C9063C"/>
    <w:rsid w:val="00C93A25"/>
    <w:rsid w:val="00C978EF"/>
    <w:rsid w:val="00C97C8A"/>
    <w:rsid w:val="00CA1835"/>
    <w:rsid w:val="00CA572D"/>
    <w:rsid w:val="00CA6987"/>
    <w:rsid w:val="00CB55EC"/>
    <w:rsid w:val="00CC34B0"/>
    <w:rsid w:val="00CD1AB3"/>
    <w:rsid w:val="00CD2228"/>
    <w:rsid w:val="00CD3B7A"/>
    <w:rsid w:val="00CD3E12"/>
    <w:rsid w:val="00CE02E6"/>
    <w:rsid w:val="00CE788F"/>
    <w:rsid w:val="00CF286F"/>
    <w:rsid w:val="00D14DA9"/>
    <w:rsid w:val="00D21F5B"/>
    <w:rsid w:val="00D27DBC"/>
    <w:rsid w:val="00D33FE9"/>
    <w:rsid w:val="00D3601C"/>
    <w:rsid w:val="00D55A63"/>
    <w:rsid w:val="00D57A43"/>
    <w:rsid w:val="00D61B66"/>
    <w:rsid w:val="00D63A1C"/>
    <w:rsid w:val="00D643E7"/>
    <w:rsid w:val="00D65109"/>
    <w:rsid w:val="00D71767"/>
    <w:rsid w:val="00D77F0B"/>
    <w:rsid w:val="00D85B43"/>
    <w:rsid w:val="00D85DFD"/>
    <w:rsid w:val="00D90FE5"/>
    <w:rsid w:val="00D96979"/>
    <w:rsid w:val="00DA5680"/>
    <w:rsid w:val="00DB7B2B"/>
    <w:rsid w:val="00DD1637"/>
    <w:rsid w:val="00DE1BFF"/>
    <w:rsid w:val="00DF6560"/>
    <w:rsid w:val="00E01E96"/>
    <w:rsid w:val="00E03FD6"/>
    <w:rsid w:val="00E05FF7"/>
    <w:rsid w:val="00E06A59"/>
    <w:rsid w:val="00E113E8"/>
    <w:rsid w:val="00E11E49"/>
    <w:rsid w:val="00E149AE"/>
    <w:rsid w:val="00E30054"/>
    <w:rsid w:val="00E34DC8"/>
    <w:rsid w:val="00E44669"/>
    <w:rsid w:val="00E44DF3"/>
    <w:rsid w:val="00E47277"/>
    <w:rsid w:val="00E55709"/>
    <w:rsid w:val="00E56DCC"/>
    <w:rsid w:val="00E6246A"/>
    <w:rsid w:val="00E65747"/>
    <w:rsid w:val="00E66F89"/>
    <w:rsid w:val="00E70662"/>
    <w:rsid w:val="00E74776"/>
    <w:rsid w:val="00E76FBD"/>
    <w:rsid w:val="00E8447A"/>
    <w:rsid w:val="00E84891"/>
    <w:rsid w:val="00E91A64"/>
    <w:rsid w:val="00E9657D"/>
    <w:rsid w:val="00E97F2F"/>
    <w:rsid w:val="00EA7683"/>
    <w:rsid w:val="00EB3438"/>
    <w:rsid w:val="00EB41F4"/>
    <w:rsid w:val="00EB4B4E"/>
    <w:rsid w:val="00EB626C"/>
    <w:rsid w:val="00EC04C4"/>
    <w:rsid w:val="00EC295B"/>
    <w:rsid w:val="00EC74CF"/>
    <w:rsid w:val="00ED50AD"/>
    <w:rsid w:val="00EE3A67"/>
    <w:rsid w:val="00EE77EA"/>
    <w:rsid w:val="00EF0E4D"/>
    <w:rsid w:val="00EF47D5"/>
    <w:rsid w:val="00EF53A9"/>
    <w:rsid w:val="00F00DFD"/>
    <w:rsid w:val="00F031C6"/>
    <w:rsid w:val="00F1063C"/>
    <w:rsid w:val="00F12EE6"/>
    <w:rsid w:val="00F13423"/>
    <w:rsid w:val="00F1787A"/>
    <w:rsid w:val="00F207BD"/>
    <w:rsid w:val="00F21478"/>
    <w:rsid w:val="00F23942"/>
    <w:rsid w:val="00F30542"/>
    <w:rsid w:val="00F31C1E"/>
    <w:rsid w:val="00F37FCA"/>
    <w:rsid w:val="00F4141B"/>
    <w:rsid w:val="00F424D9"/>
    <w:rsid w:val="00F47A61"/>
    <w:rsid w:val="00F50D6A"/>
    <w:rsid w:val="00F51770"/>
    <w:rsid w:val="00F632F9"/>
    <w:rsid w:val="00F642DB"/>
    <w:rsid w:val="00F67030"/>
    <w:rsid w:val="00F72148"/>
    <w:rsid w:val="00F721DD"/>
    <w:rsid w:val="00F86B88"/>
    <w:rsid w:val="00F873A9"/>
    <w:rsid w:val="00F97E53"/>
    <w:rsid w:val="00FA3177"/>
    <w:rsid w:val="00FA3560"/>
    <w:rsid w:val="00FB0F7D"/>
    <w:rsid w:val="00FD0191"/>
    <w:rsid w:val="00FE23B7"/>
    <w:rsid w:val="00FE25CE"/>
    <w:rsid w:val="00FE3BE5"/>
    <w:rsid w:val="00FE65E5"/>
    <w:rsid w:val="00FE78CE"/>
    <w:rsid w:val="00FF0BC2"/>
    <w:rsid w:val="00FF6384"/>
    <w:rsid w:val="05613126"/>
    <w:rsid w:val="091A6D74"/>
    <w:rsid w:val="185544CF"/>
    <w:rsid w:val="196E2CD1"/>
    <w:rsid w:val="1C2E4340"/>
    <w:rsid w:val="1DF07592"/>
    <w:rsid w:val="25262552"/>
    <w:rsid w:val="2931341F"/>
    <w:rsid w:val="2D8365AA"/>
    <w:rsid w:val="3C5E54B8"/>
    <w:rsid w:val="4234197A"/>
    <w:rsid w:val="4802246B"/>
    <w:rsid w:val="49B8514B"/>
    <w:rsid w:val="4DD0188E"/>
    <w:rsid w:val="55632CAF"/>
    <w:rsid w:val="57AA0342"/>
    <w:rsid w:val="65197EC2"/>
    <w:rsid w:val="65FE2375"/>
    <w:rsid w:val="67A4426B"/>
    <w:rsid w:val="680A3581"/>
    <w:rsid w:val="704C0637"/>
    <w:rsid w:val="765A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401CE"/>
  <w15:docId w15:val="{011EE1A6-CF4F-41F9-A254-5A2C00C9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FA3560"/>
    <w:rPr>
      <w:sz w:val="24"/>
      <w:szCs w:val="24"/>
    </w:rPr>
  </w:style>
  <w:style w:type="paragraph" w:styleId="3">
    <w:name w:val="heading 3"/>
    <w:basedOn w:val="a"/>
    <w:next w:val="a"/>
    <w:link w:val="30"/>
    <w:semiHidden/>
    <w:unhideWhenUsed/>
    <w:qFormat/>
    <w:rsid w:val="0012010D"/>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pPr>
      <w:widowControl w:val="0"/>
      <w:spacing w:beforeAutospacing="1" w:afterAutospacing="1"/>
      <w:outlineLvl w:val="3"/>
    </w:pPr>
    <w:rPr>
      <w:rFonts w:ascii="宋体" w:hAnsi="宋体" w:hint="eastAsia"/>
      <w:b/>
    </w:rPr>
  </w:style>
  <w:style w:type="paragraph" w:styleId="5">
    <w:name w:val="heading 5"/>
    <w:basedOn w:val="a"/>
    <w:next w:val="a"/>
    <w:unhideWhenUsed/>
    <w:qFormat/>
    <w:pPr>
      <w:widowControl w:val="0"/>
      <w:spacing w:beforeAutospacing="1" w:afterAutospacing="1"/>
      <w:outlineLvl w:val="4"/>
    </w:pPr>
    <w:rPr>
      <w:rFonts w:ascii="宋体" w:hAnsi="宋体" w:hint="eastAsia"/>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val="0"/>
      <w:spacing w:beforeAutospacing="1" w:afterAutospacing="1"/>
    </w:pPr>
    <w:rPr>
      <w:rFonts w:asciiTheme="minorHAnsi" w:eastAsiaTheme="minorEastAsia" w:hAnsiTheme="minorHAnsi"/>
    </w:rPr>
  </w:style>
  <w:style w:type="character" w:styleId="a4">
    <w:name w:val="Strong"/>
    <w:basedOn w:val="a0"/>
    <w:uiPriority w:val="22"/>
    <w:qFormat/>
    <w:rPr>
      <w:b/>
    </w:rPr>
  </w:style>
  <w:style w:type="character" w:customStyle="1" w:styleId="apple-converted-space">
    <w:name w:val="apple-converted-space"/>
    <w:basedOn w:val="a0"/>
    <w:rsid w:val="00E06A59"/>
  </w:style>
  <w:style w:type="character" w:styleId="a5">
    <w:name w:val="Emphasis"/>
    <w:basedOn w:val="a0"/>
    <w:uiPriority w:val="20"/>
    <w:qFormat/>
    <w:rsid w:val="00E56DCC"/>
    <w:rPr>
      <w:i/>
      <w:iCs/>
    </w:rPr>
  </w:style>
  <w:style w:type="paragraph" w:styleId="a6">
    <w:name w:val="header"/>
    <w:basedOn w:val="a"/>
    <w:link w:val="a7"/>
    <w:rsid w:val="00C014F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字符"/>
    <w:basedOn w:val="a0"/>
    <w:link w:val="a6"/>
    <w:rsid w:val="00C014F2"/>
    <w:rPr>
      <w:rFonts w:asciiTheme="minorHAnsi" w:eastAsiaTheme="minorEastAsia" w:hAnsiTheme="minorHAnsi" w:cstheme="minorBidi"/>
      <w:kern w:val="2"/>
      <w:sz w:val="18"/>
      <w:szCs w:val="18"/>
    </w:rPr>
  </w:style>
  <w:style w:type="paragraph" w:styleId="a8">
    <w:name w:val="footer"/>
    <w:basedOn w:val="a"/>
    <w:link w:val="a9"/>
    <w:rsid w:val="00C014F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字符"/>
    <w:basedOn w:val="a0"/>
    <w:link w:val="a8"/>
    <w:rsid w:val="00C014F2"/>
    <w:rPr>
      <w:rFonts w:asciiTheme="minorHAnsi" w:eastAsiaTheme="minorEastAsia" w:hAnsiTheme="minorHAnsi" w:cstheme="minorBidi"/>
      <w:kern w:val="2"/>
      <w:sz w:val="18"/>
      <w:szCs w:val="18"/>
    </w:rPr>
  </w:style>
  <w:style w:type="paragraph" w:styleId="aa">
    <w:name w:val="List Paragraph"/>
    <w:basedOn w:val="a"/>
    <w:uiPriority w:val="99"/>
    <w:rsid w:val="00AA5F92"/>
    <w:pPr>
      <w:widowControl w:val="0"/>
      <w:ind w:firstLineChars="200" w:firstLine="420"/>
      <w:jc w:val="both"/>
    </w:pPr>
    <w:rPr>
      <w:rFonts w:asciiTheme="minorHAnsi" w:eastAsiaTheme="minorEastAsia" w:hAnsiTheme="minorHAnsi" w:cstheme="minorBidi"/>
      <w:kern w:val="2"/>
      <w:sz w:val="21"/>
    </w:rPr>
  </w:style>
  <w:style w:type="character" w:customStyle="1" w:styleId="30">
    <w:name w:val="标题 3字符"/>
    <w:basedOn w:val="a0"/>
    <w:link w:val="3"/>
    <w:semiHidden/>
    <w:rsid w:val="0012010D"/>
    <w:rPr>
      <w:rFonts w:asciiTheme="minorHAnsi" w:eastAsiaTheme="minorEastAsia" w:hAnsiTheme="minorHAnsi" w:cstheme="minorBidi"/>
      <w:b/>
      <w:bCs/>
      <w:kern w:val="2"/>
      <w:sz w:val="32"/>
      <w:szCs w:val="32"/>
    </w:rPr>
  </w:style>
  <w:style w:type="character" w:customStyle="1" w:styleId="40">
    <w:name w:val="标题 4字符"/>
    <w:basedOn w:val="a0"/>
    <w:link w:val="4"/>
    <w:uiPriority w:val="9"/>
    <w:rsid w:val="00FA3560"/>
    <w:rPr>
      <w:rFonts w:ascii="宋体" w:hAnsi="宋体"/>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356">
      <w:bodyDiv w:val="1"/>
      <w:marLeft w:val="0"/>
      <w:marRight w:val="0"/>
      <w:marTop w:val="0"/>
      <w:marBottom w:val="0"/>
      <w:divBdr>
        <w:top w:val="none" w:sz="0" w:space="0" w:color="auto"/>
        <w:left w:val="none" w:sz="0" w:space="0" w:color="auto"/>
        <w:bottom w:val="none" w:sz="0" w:space="0" w:color="auto"/>
        <w:right w:val="none" w:sz="0" w:space="0" w:color="auto"/>
      </w:divBdr>
    </w:div>
    <w:div w:id="86318044">
      <w:bodyDiv w:val="1"/>
      <w:marLeft w:val="0"/>
      <w:marRight w:val="0"/>
      <w:marTop w:val="0"/>
      <w:marBottom w:val="0"/>
      <w:divBdr>
        <w:top w:val="none" w:sz="0" w:space="0" w:color="auto"/>
        <w:left w:val="none" w:sz="0" w:space="0" w:color="auto"/>
        <w:bottom w:val="none" w:sz="0" w:space="0" w:color="auto"/>
        <w:right w:val="none" w:sz="0" w:space="0" w:color="auto"/>
      </w:divBdr>
    </w:div>
    <w:div w:id="407189993">
      <w:bodyDiv w:val="1"/>
      <w:marLeft w:val="0"/>
      <w:marRight w:val="0"/>
      <w:marTop w:val="0"/>
      <w:marBottom w:val="0"/>
      <w:divBdr>
        <w:top w:val="none" w:sz="0" w:space="0" w:color="auto"/>
        <w:left w:val="none" w:sz="0" w:space="0" w:color="auto"/>
        <w:bottom w:val="none" w:sz="0" w:space="0" w:color="auto"/>
        <w:right w:val="none" w:sz="0" w:space="0" w:color="auto"/>
      </w:divBdr>
    </w:div>
    <w:div w:id="460804167">
      <w:bodyDiv w:val="1"/>
      <w:marLeft w:val="0"/>
      <w:marRight w:val="0"/>
      <w:marTop w:val="0"/>
      <w:marBottom w:val="0"/>
      <w:divBdr>
        <w:top w:val="none" w:sz="0" w:space="0" w:color="auto"/>
        <w:left w:val="none" w:sz="0" w:space="0" w:color="auto"/>
        <w:bottom w:val="none" w:sz="0" w:space="0" w:color="auto"/>
        <w:right w:val="none" w:sz="0" w:space="0" w:color="auto"/>
      </w:divBdr>
    </w:div>
    <w:div w:id="486096099">
      <w:bodyDiv w:val="1"/>
      <w:marLeft w:val="0"/>
      <w:marRight w:val="0"/>
      <w:marTop w:val="0"/>
      <w:marBottom w:val="0"/>
      <w:divBdr>
        <w:top w:val="none" w:sz="0" w:space="0" w:color="auto"/>
        <w:left w:val="none" w:sz="0" w:space="0" w:color="auto"/>
        <w:bottom w:val="none" w:sz="0" w:space="0" w:color="auto"/>
        <w:right w:val="none" w:sz="0" w:space="0" w:color="auto"/>
      </w:divBdr>
    </w:div>
    <w:div w:id="499001406">
      <w:bodyDiv w:val="1"/>
      <w:marLeft w:val="0"/>
      <w:marRight w:val="0"/>
      <w:marTop w:val="0"/>
      <w:marBottom w:val="0"/>
      <w:divBdr>
        <w:top w:val="none" w:sz="0" w:space="0" w:color="auto"/>
        <w:left w:val="none" w:sz="0" w:space="0" w:color="auto"/>
        <w:bottom w:val="none" w:sz="0" w:space="0" w:color="auto"/>
        <w:right w:val="none" w:sz="0" w:space="0" w:color="auto"/>
      </w:divBdr>
    </w:div>
    <w:div w:id="610282148">
      <w:bodyDiv w:val="1"/>
      <w:marLeft w:val="0"/>
      <w:marRight w:val="0"/>
      <w:marTop w:val="0"/>
      <w:marBottom w:val="0"/>
      <w:divBdr>
        <w:top w:val="none" w:sz="0" w:space="0" w:color="auto"/>
        <w:left w:val="none" w:sz="0" w:space="0" w:color="auto"/>
        <w:bottom w:val="none" w:sz="0" w:space="0" w:color="auto"/>
        <w:right w:val="none" w:sz="0" w:space="0" w:color="auto"/>
      </w:divBdr>
    </w:div>
    <w:div w:id="739248728">
      <w:bodyDiv w:val="1"/>
      <w:marLeft w:val="0"/>
      <w:marRight w:val="0"/>
      <w:marTop w:val="0"/>
      <w:marBottom w:val="0"/>
      <w:divBdr>
        <w:top w:val="none" w:sz="0" w:space="0" w:color="auto"/>
        <w:left w:val="none" w:sz="0" w:space="0" w:color="auto"/>
        <w:bottom w:val="none" w:sz="0" w:space="0" w:color="auto"/>
        <w:right w:val="none" w:sz="0" w:space="0" w:color="auto"/>
      </w:divBdr>
    </w:div>
    <w:div w:id="980112759">
      <w:bodyDiv w:val="1"/>
      <w:marLeft w:val="0"/>
      <w:marRight w:val="0"/>
      <w:marTop w:val="0"/>
      <w:marBottom w:val="0"/>
      <w:divBdr>
        <w:top w:val="none" w:sz="0" w:space="0" w:color="auto"/>
        <w:left w:val="none" w:sz="0" w:space="0" w:color="auto"/>
        <w:bottom w:val="none" w:sz="0" w:space="0" w:color="auto"/>
        <w:right w:val="none" w:sz="0" w:space="0" w:color="auto"/>
      </w:divBdr>
    </w:div>
    <w:div w:id="1033728332">
      <w:bodyDiv w:val="1"/>
      <w:marLeft w:val="0"/>
      <w:marRight w:val="0"/>
      <w:marTop w:val="0"/>
      <w:marBottom w:val="0"/>
      <w:divBdr>
        <w:top w:val="none" w:sz="0" w:space="0" w:color="auto"/>
        <w:left w:val="none" w:sz="0" w:space="0" w:color="auto"/>
        <w:bottom w:val="none" w:sz="0" w:space="0" w:color="auto"/>
        <w:right w:val="none" w:sz="0" w:space="0" w:color="auto"/>
      </w:divBdr>
    </w:div>
    <w:div w:id="1133985205">
      <w:bodyDiv w:val="1"/>
      <w:marLeft w:val="0"/>
      <w:marRight w:val="0"/>
      <w:marTop w:val="0"/>
      <w:marBottom w:val="0"/>
      <w:divBdr>
        <w:top w:val="none" w:sz="0" w:space="0" w:color="auto"/>
        <w:left w:val="none" w:sz="0" w:space="0" w:color="auto"/>
        <w:bottom w:val="none" w:sz="0" w:space="0" w:color="auto"/>
        <w:right w:val="none" w:sz="0" w:space="0" w:color="auto"/>
      </w:divBdr>
    </w:div>
    <w:div w:id="1233857813">
      <w:bodyDiv w:val="1"/>
      <w:marLeft w:val="0"/>
      <w:marRight w:val="0"/>
      <w:marTop w:val="0"/>
      <w:marBottom w:val="0"/>
      <w:divBdr>
        <w:top w:val="none" w:sz="0" w:space="0" w:color="auto"/>
        <w:left w:val="none" w:sz="0" w:space="0" w:color="auto"/>
        <w:bottom w:val="none" w:sz="0" w:space="0" w:color="auto"/>
        <w:right w:val="none" w:sz="0" w:space="0" w:color="auto"/>
      </w:divBdr>
    </w:div>
    <w:div w:id="1356270762">
      <w:bodyDiv w:val="1"/>
      <w:marLeft w:val="0"/>
      <w:marRight w:val="0"/>
      <w:marTop w:val="0"/>
      <w:marBottom w:val="0"/>
      <w:divBdr>
        <w:top w:val="none" w:sz="0" w:space="0" w:color="auto"/>
        <w:left w:val="none" w:sz="0" w:space="0" w:color="auto"/>
        <w:bottom w:val="none" w:sz="0" w:space="0" w:color="auto"/>
        <w:right w:val="none" w:sz="0" w:space="0" w:color="auto"/>
      </w:divBdr>
    </w:div>
    <w:div w:id="1460802074">
      <w:bodyDiv w:val="1"/>
      <w:marLeft w:val="0"/>
      <w:marRight w:val="0"/>
      <w:marTop w:val="0"/>
      <w:marBottom w:val="0"/>
      <w:divBdr>
        <w:top w:val="none" w:sz="0" w:space="0" w:color="auto"/>
        <w:left w:val="none" w:sz="0" w:space="0" w:color="auto"/>
        <w:bottom w:val="none" w:sz="0" w:space="0" w:color="auto"/>
        <w:right w:val="none" w:sz="0" w:space="0" w:color="auto"/>
      </w:divBdr>
    </w:div>
    <w:div w:id="1487478052">
      <w:bodyDiv w:val="1"/>
      <w:marLeft w:val="0"/>
      <w:marRight w:val="0"/>
      <w:marTop w:val="0"/>
      <w:marBottom w:val="0"/>
      <w:divBdr>
        <w:top w:val="none" w:sz="0" w:space="0" w:color="auto"/>
        <w:left w:val="none" w:sz="0" w:space="0" w:color="auto"/>
        <w:bottom w:val="none" w:sz="0" w:space="0" w:color="auto"/>
        <w:right w:val="none" w:sz="0" w:space="0" w:color="auto"/>
      </w:divBdr>
    </w:div>
    <w:div w:id="1532062120">
      <w:bodyDiv w:val="1"/>
      <w:marLeft w:val="0"/>
      <w:marRight w:val="0"/>
      <w:marTop w:val="0"/>
      <w:marBottom w:val="0"/>
      <w:divBdr>
        <w:top w:val="none" w:sz="0" w:space="0" w:color="auto"/>
        <w:left w:val="none" w:sz="0" w:space="0" w:color="auto"/>
        <w:bottom w:val="none" w:sz="0" w:space="0" w:color="auto"/>
        <w:right w:val="none" w:sz="0" w:space="0" w:color="auto"/>
      </w:divBdr>
    </w:div>
    <w:div w:id="1588149021">
      <w:bodyDiv w:val="1"/>
      <w:marLeft w:val="0"/>
      <w:marRight w:val="0"/>
      <w:marTop w:val="0"/>
      <w:marBottom w:val="0"/>
      <w:divBdr>
        <w:top w:val="none" w:sz="0" w:space="0" w:color="auto"/>
        <w:left w:val="none" w:sz="0" w:space="0" w:color="auto"/>
        <w:bottom w:val="none" w:sz="0" w:space="0" w:color="auto"/>
        <w:right w:val="none" w:sz="0" w:space="0" w:color="auto"/>
      </w:divBdr>
    </w:div>
    <w:div w:id="1662469489">
      <w:bodyDiv w:val="1"/>
      <w:marLeft w:val="0"/>
      <w:marRight w:val="0"/>
      <w:marTop w:val="0"/>
      <w:marBottom w:val="0"/>
      <w:divBdr>
        <w:top w:val="none" w:sz="0" w:space="0" w:color="auto"/>
        <w:left w:val="none" w:sz="0" w:space="0" w:color="auto"/>
        <w:bottom w:val="none" w:sz="0" w:space="0" w:color="auto"/>
        <w:right w:val="none" w:sz="0" w:space="0" w:color="auto"/>
      </w:divBdr>
    </w:div>
    <w:div w:id="1746025165">
      <w:bodyDiv w:val="1"/>
      <w:marLeft w:val="0"/>
      <w:marRight w:val="0"/>
      <w:marTop w:val="0"/>
      <w:marBottom w:val="0"/>
      <w:divBdr>
        <w:top w:val="none" w:sz="0" w:space="0" w:color="auto"/>
        <w:left w:val="none" w:sz="0" w:space="0" w:color="auto"/>
        <w:bottom w:val="none" w:sz="0" w:space="0" w:color="auto"/>
        <w:right w:val="none" w:sz="0" w:space="0" w:color="auto"/>
      </w:divBdr>
    </w:div>
    <w:div w:id="1777478001">
      <w:bodyDiv w:val="1"/>
      <w:marLeft w:val="0"/>
      <w:marRight w:val="0"/>
      <w:marTop w:val="0"/>
      <w:marBottom w:val="0"/>
      <w:divBdr>
        <w:top w:val="none" w:sz="0" w:space="0" w:color="auto"/>
        <w:left w:val="none" w:sz="0" w:space="0" w:color="auto"/>
        <w:bottom w:val="none" w:sz="0" w:space="0" w:color="auto"/>
        <w:right w:val="none" w:sz="0" w:space="0" w:color="auto"/>
      </w:divBdr>
    </w:div>
    <w:div w:id="1848321206">
      <w:bodyDiv w:val="1"/>
      <w:marLeft w:val="0"/>
      <w:marRight w:val="0"/>
      <w:marTop w:val="0"/>
      <w:marBottom w:val="0"/>
      <w:divBdr>
        <w:top w:val="none" w:sz="0" w:space="0" w:color="auto"/>
        <w:left w:val="none" w:sz="0" w:space="0" w:color="auto"/>
        <w:bottom w:val="none" w:sz="0" w:space="0" w:color="auto"/>
        <w:right w:val="none" w:sz="0" w:space="0" w:color="auto"/>
      </w:divBdr>
    </w:div>
    <w:div w:id="1868331922">
      <w:bodyDiv w:val="1"/>
      <w:marLeft w:val="0"/>
      <w:marRight w:val="0"/>
      <w:marTop w:val="0"/>
      <w:marBottom w:val="0"/>
      <w:divBdr>
        <w:top w:val="none" w:sz="0" w:space="0" w:color="auto"/>
        <w:left w:val="none" w:sz="0" w:space="0" w:color="auto"/>
        <w:bottom w:val="none" w:sz="0" w:space="0" w:color="auto"/>
        <w:right w:val="none" w:sz="0" w:space="0" w:color="auto"/>
      </w:divBdr>
    </w:div>
    <w:div w:id="1915893641">
      <w:bodyDiv w:val="1"/>
      <w:marLeft w:val="0"/>
      <w:marRight w:val="0"/>
      <w:marTop w:val="0"/>
      <w:marBottom w:val="0"/>
      <w:divBdr>
        <w:top w:val="none" w:sz="0" w:space="0" w:color="auto"/>
        <w:left w:val="none" w:sz="0" w:space="0" w:color="auto"/>
        <w:bottom w:val="none" w:sz="0" w:space="0" w:color="auto"/>
        <w:right w:val="none" w:sz="0" w:space="0" w:color="auto"/>
      </w:divBdr>
    </w:div>
    <w:div w:id="2098668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42CFA-707D-FA41-9B87-687432F7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586</Words>
  <Characters>3343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dc:creator>
  <cp:lastModifiedBy>az48</cp:lastModifiedBy>
  <cp:revision>6</cp:revision>
  <dcterms:created xsi:type="dcterms:W3CDTF">2016-07-18T10:52:00Z</dcterms:created>
  <dcterms:modified xsi:type="dcterms:W3CDTF">2016-07-18T13:18:00Z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