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DEA" w14:textId="4DC4D62A" w:rsidR="00231C97" w:rsidRDefault="00231C97"/>
    <w:p w14:paraId="1358F455" w14:textId="025B1208" w:rsidR="00EE67F6" w:rsidRDefault="00EE67F6">
      <w:r>
        <w:t>D</w:t>
      </w:r>
      <w:r>
        <w:rPr>
          <w:rFonts w:hint="eastAsia"/>
        </w:rPr>
        <w:t>ata</w:t>
      </w:r>
      <w:r>
        <w:t xml:space="preserve"> </w:t>
      </w:r>
    </w:p>
    <w:p w14:paraId="3363270E" w14:textId="1294A3A9" w:rsidR="00215D0D" w:rsidRDefault="00E37BA7" w:rsidP="00E37BA7">
      <w:r>
        <w:t xml:space="preserve">1, </w:t>
      </w:r>
      <w:r w:rsidR="00215D0D">
        <w:t>social vulnerability data</w:t>
      </w:r>
    </w:p>
    <w:p w14:paraId="32B7AB3F" w14:textId="128FD821" w:rsidR="00E37BA7" w:rsidRDefault="00E37BA7" w:rsidP="00E37BA7">
      <w:r>
        <w:t xml:space="preserve">to see the distribution of each </w:t>
      </w:r>
      <w:proofErr w:type="gramStart"/>
      <w:r>
        <w:t>variables</w:t>
      </w:r>
      <w:proofErr w:type="gramEnd"/>
      <w:r>
        <w:t>, with the result of hist plot, we can see that the following 8 variables are heavy skewed, so we transfer these 8 variables to binary classification variables, 0 represent without, 1 represent with.</w:t>
      </w:r>
    </w:p>
    <w:p w14:paraId="7BDB91D0" w14:textId="3606DE2E" w:rsidR="00EE67F6" w:rsidRDefault="00805C9A" w:rsidP="00805C9A">
      <w:pPr>
        <w:jc w:val="center"/>
      </w:pPr>
      <w:r>
        <w:rPr>
          <w:rFonts w:hint="eastAsia"/>
          <w:noProof/>
        </w:rPr>
        <w:drawing>
          <wp:inline distT="0" distB="0" distL="0" distR="0" wp14:anchorId="2DB5671D" wp14:editId="29DD9E19">
            <wp:extent cx="4654460" cy="3125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098" cy="31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FF6B" w14:textId="0CF6DE6D" w:rsidR="00BC2F24" w:rsidRDefault="00BC2F24" w:rsidP="00805C9A">
      <w:pPr>
        <w:jc w:val="center"/>
      </w:pPr>
      <w:r>
        <w:rPr>
          <w:rFonts w:hint="eastAsia"/>
          <w:noProof/>
        </w:rPr>
        <w:drawing>
          <wp:inline distT="0" distB="0" distL="0" distR="0" wp14:anchorId="50F5C98E" wp14:editId="271178FD">
            <wp:extent cx="4620638" cy="31031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19" cy="31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5032" w14:textId="101B31A9" w:rsidR="00E37BA7" w:rsidRDefault="00E37BA7" w:rsidP="00E37BA7">
      <w:pPr>
        <w:jc w:val="center"/>
      </w:pPr>
      <w:r>
        <w:t xml:space="preserve">Figure 1: the distribution of four races and other four variables in </w:t>
      </w:r>
      <w:proofErr w:type="gramStart"/>
      <w:r>
        <w:t>communities(</w:t>
      </w:r>
      <w:proofErr w:type="gramEnd"/>
      <w:r>
        <w:t>QASIAN, QBLACK, QHISP, QNATAM, QNRRES, QSEL, QNOAUTO, QRICH200K)</w:t>
      </w:r>
    </w:p>
    <w:p w14:paraId="75BFA448" w14:textId="77777777" w:rsidR="00E37BA7" w:rsidRDefault="00E37BA7" w:rsidP="00805C9A">
      <w:pPr>
        <w:jc w:val="center"/>
      </w:pPr>
    </w:p>
    <w:p w14:paraId="75A8842B" w14:textId="2D7CAB76" w:rsidR="00D25660" w:rsidRDefault="00D25660" w:rsidP="00D25660">
      <w:r>
        <w:lastRenderedPageBreak/>
        <w:t xml:space="preserve">For that more than half of the percent of each race is race, we transfer these for variables into </w:t>
      </w:r>
      <w:r w:rsidR="006E5302">
        <w:t xml:space="preserve">category variables, </w:t>
      </w:r>
      <w:r w:rsidR="00E37BA7">
        <w:t xml:space="preserve">e.g., </w:t>
      </w:r>
      <w:r w:rsidR="006E5302">
        <w:t>0 represent no Asian, 1 represent with Asian.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2F24" w14:paraId="48A8C345" w14:textId="77777777" w:rsidTr="00BC2F24">
        <w:tc>
          <w:tcPr>
            <w:tcW w:w="3116" w:type="dxa"/>
          </w:tcPr>
          <w:p w14:paraId="24279550" w14:textId="5A79FC86" w:rsidR="00BC2F24" w:rsidRDefault="00BC2F24" w:rsidP="00D25660">
            <w:r>
              <w:t>VARIABLE</w:t>
            </w:r>
          </w:p>
        </w:tc>
        <w:tc>
          <w:tcPr>
            <w:tcW w:w="3117" w:type="dxa"/>
          </w:tcPr>
          <w:p w14:paraId="1D97EADE" w14:textId="0FFD64BA" w:rsidR="00BC2F24" w:rsidRDefault="00BC2F24" w:rsidP="00D25660">
            <w:r>
              <w:t>0 COUNTS</w:t>
            </w:r>
          </w:p>
        </w:tc>
        <w:tc>
          <w:tcPr>
            <w:tcW w:w="3117" w:type="dxa"/>
          </w:tcPr>
          <w:p w14:paraId="681A0117" w14:textId="69F70B6E" w:rsidR="00BC2F24" w:rsidRDefault="00E37BA7" w:rsidP="00D25660">
            <w:r>
              <w:t>1 COUNTS</w:t>
            </w:r>
          </w:p>
        </w:tc>
      </w:tr>
      <w:tr w:rsidR="00BC2F24" w14:paraId="3FFE52EE" w14:textId="77777777" w:rsidTr="00BC2F24">
        <w:tc>
          <w:tcPr>
            <w:tcW w:w="3116" w:type="dxa"/>
          </w:tcPr>
          <w:p w14:paraId="0D5807D5" w14:textId="71CC3F46" w:rsidR="00BC2F24" w:rsidRDefault="00BC2F24" w:rsidP="00D25660">
            <w:r>
              <w:t>QASIAN</w:t>
            </w:r>
          </w:p>
        </w:tc>
        <w:tc>
          <w:tcPr>
            <w:tcW w:w="3117" w:type="dxa"/>
          </w:tcPr>
          <w:p w14:paraId="05314116" w14:textId="34DA7C5D" w:rsidR="00BC2F24" w:rsidRDefault="00BC2F24" w:rsidP="00D25660">
            <w:r>
              <w:t>144</w:t>
            </w:r>
          </w:p>
        </w:tc>
        <w:tc>
          <w:tcPr>
            <w:tcW w:w="3117" w:type="dxa"/>
          </w:tcPr>
          <w:p w14:paraId="4D9AA024" w14:textId="1BF7FD98" w:rsidR="00BC2F24" w:rsidRDefault="00E37BA7" w:rsidP="00D25660">
            <w:r>
              <w:t>93</w:t>
            </w:r>
          </w:p>
        </w:tc>
      </w:tr>
      <w:tr w:rsidR="00BC2F24" w14:paraId="6D89BE83" w14:textId="77777777" w:rsidTr="00BC2F24">
        <w:tc>
          <w:tcPr>
            <w:tcW w:w="3116" w:type="dxa"/>
          </w:tcPr>
          <w:p w14:paraId="1AC043BD" w14:textId="7E30BFED" w:rsidR="00BC2F24" w:rsidRDefault="00BC2F24" w:rsidP="00D25660">
            <w:r>
              <w:t>QBLACK</w:t>
            </w:r>
          </w:p>
        </w:tc>
        <w:tc>
          <w:tcPr>
            <w:tcW w:w="3117" w:type="dxa"/>
          </w:tcPr>
          <w:p w14:paraId="5CF363E1" w14:textId="54B3F202" w:rsidR="00BC2F24" w:rsidRDefault="00BC2F24" w:rsidP="00D25660">
            <w:r>
              <w:t>161</w:t>
            </w:r>
          </w:p>
        </w:tc>
        <w:tc>
          <w:tcPr>
            <w:tcW w:w="3117" w:type="dxa"/>
          </w:tcPr>
          <w:p w14:paraId="004B8DC0" w14:textId="4CCEDB61" w:rsidR="00BC2F24" w:rsidRDefault="00215D0D" w:rsidP="00D25660">
            <w:r>
              <w:t>76</w:t>
            </w:r>
          </w:p>
        </w:tc>
      </w:tr>
      <w:tr w:rsidR="00BC2F24" w14:paraId="3C8D8993" w14:textId="77777777" w:rsidTr="00BC2F24">
        <w:tc>
          <w:tcPr>
            <w:tcW w:w="3116" w:type="dxa"/>
          </w:tcPr>
          <w:p w14:paraId="585E9788" w14:textId="7E558D8B" w:rsidR="00BC2F24" w:rsidRDefault="00BC2F24" w:rsidP="00D25660">
            <w:r>
              <w:t>QHISP</w:t>
            </w:r>
          </w:p>
        </w:tc>
        <w:tc>
          <w:tcPr>
            <w:tcW w:w="3117" w:type="dxa"/>
          </w:tcPr>
          <w:p w14:paraId="3FE832DE" w14:textId="0A2592A8" w:rsidR="00BC2F24" w:rsidRDefault="00BC2F24" w:rsidP="00D25660">
            <w:r>
              <w:t>42</w:t>
            </w:r>
          </w:p>
        </w:tc>
        <w:tc>
          <w:tcPr>
            <w:tcW w:w="3117" w:type="dxa"/>
          </w:tcPr>
          <w:p w14:paraId="49F44F28" w14:textId="46572AB4" w:rsidR="00BC2F24" w:rsidRDefault="00215D0D" w:rsidP="00D25660">
            <w:r>
              <w:t>195</w:t>
            </w:r>
          </w:p>
        </w:tc>
      </w:tr>
      <w:tr w:rsidR="00BC2F24" w14:paraId="67421F66" w14:textId="77777777" w:rsidTr="00BC2F24">
        <w:tc>
          <w:tcPr>
            <w:tcW w:w="3116" w:type="dxa"/>
          </w:tcPr>
          <w:p w14:paraId="1CE3904A" w14:textId="62FB4180" w:rsidR="00BC2F24" w:rsidRDefault="00BC2F24" w:rsidP="00D25660">
            <w:r>
              <w:t>QNATAM</w:t>
            </w:r>
          </w:p>
        </w:tc>
        <w:tc>
          <w:tcPr>
            <w:tcW w:w="3117" w:type="dxa"/>
          </w:tcPr>
          <w:p w14:paraId="61233016" w14:textId="7C725CA0" w:rsidR="00BC2F24" w:rsidRDefault="00BC2F24" w:rsidP="00D25660">
            <w:r>
              <w:t>119</w:t>
            </w:r>
          </w:p>
        </w:tc>
        <w:tc>
          <w:tcPr>
            <w:tcW w:w="3117" w:type="dxa"/>
          </w:tcPr>
          <w:p w14:paraId="1DF8A797" w14:textId="223DFCAD" w:rsidR="00BC2F24" w:rsidRDefault="00215D0D" w:rsidP="00D25660">
            <w:r>
              <w:t>118</w:t>
            </w:r>
          </w:p>
        </w:tc>
      </w:tr>
      <w:tr w:rsidR="00BC2F24" w14:paraId="1CFBE7E5" w14:textId="77777777" w:rsidTr="00BC2F24">
        <w:tc>
          <w:tcPr>
            <w:tcW w:w="3116" w:type="dxa"/>
          </w:tcPr>
          <w:p w14:paraId="6EBB7A32" w14:textId="39AE550B" w:rsidR="00BC2F24" w:rsidRDefault="00BC2F24" w:rsidP="00D25660">
            <w:r w:rsidRPr="00BC2F24">
              <w:t>QNRRES</w:t>
            </w:r>
          </w:p>
        </w:tc>
        <w:tc>
          <w:tcPr>
            <w:tcW w:w="3117" w:type="dxa"/>
          </w:tcPr>
          <w:p w14:paraId="294BD0D1" w14:textId="24A22E5C" w:rsidR="00BC2F24" w:rsidRDefault="00BC2F24" w:rsidP="00D25660">
            <w:r>
              <w:t>178</w:t>
            </w:r>
          </w:p>
        </w:tc>
        <w:tc>
          <w:tcPr>
            <w:tcW w:w="3117" w:type="dxa"/>
          </w:tcPr>
          <w:p w14:paraId="5C96B71E" w14:textId="61ABAEE1" w:rsidR="00BC2F24" w:rsidRDefault="00215D0D" w:rsidP="00D25660">
            <w:r>
              <w:t>59</w:t>
            </w:r>
          </w:p>
        </w:tc>
      </w:tr>
      <w:tr w:rsidR="00BC2F24" w14:paraId="213F8543" w14:textId="77777777" w:rsidTr="00BC2F24">
        <w:tc>
          <w:tcPr>
            <w:tcW w:w="3116" w:type="dxa"/>
          </w:tcPr>
          <w:p w14:paraId="06FC088C" w14:textId="30DDFE13" w:rsidR="00BC2F24" w:rsidRDefault="00BC2F24" w:rsidP="00D25660">
            <w:r w:rsidRPr="00BC2F24">
              <w:t>QSEL</w:t>
            </w:r>
          </w:p>
        </w:tc>
        <w:tc>
          <w:tcPr>
            <w:tcW w:w="3117" w:type="dxa"/>
          </w:tcPr>
          <w:p w14:paraId="0DE099DC" w14:textId="74B3190F" w:rsidR="00BC2F24" w:rsidRDefault="00BC2F24" w:rsidP="00D25660">
            <w:r>
              <w:t>125</w:t>
            </w:r>
          </w:p>
        </w:tc>
        <w:tc>
          <w:tcPr>
            <w:tcW w:w="3117" w:type="dxa"/>
          </w:tcPr>
          <w:p w14:paraId="7C7B4CD5" w14:textId="37C24668" w:rsidR="00BC2F24" w:rsidRDefault="00215D0D" w:rsidP="00D25660">
            <w:r>
              <w:t>112</w:t>
            </w:r>
          </w:p>
        </w:tc>
      </w:tr>
      <w:tr w:rsidR="00BC2F24" w14:paraId="3C64DDE7" w14:textId="77777777" w:rsidTr="00BC2F24">
        <w:tc>
          <w:tcPr>
            <w:tcW w:w="3116" w:type="dxa"/>
          </w:tcPr>
          <w:p w14:paraId="1CE814D0" w14:textId="2488A71B" w:rsidR="00BC2F24" w:rsidRDefault="00BC2F24" w:rsidP="00D25660">
            <w:r w:rsidRPr="00BC2F24">
              <w:t>QNOAUTO</w:t>
            </w:r>
          </w:p>
        </w:tc>
        <w:tc>
          <w:tcPr>
            <w:tcW w:w="3117" w:type="dxa"/>
          </w:tcPr>
          <w:p w14:paraId="0E732F41" w14:textId="1D6CE706" w:rsidR="00BC2F24" w:rsidRDefault="00BC2F24" w:rsidP="00D25660">
            <w:r>
              <w:t>75</w:t>
            </w:r>
          </w:p>
        </w:tc>
        <w:tc>
          <w:tcPr>
            <w:tcW w:w="3117" w:type="dxa"/>
          </w:tcPr>
          <w:p w14:paraId="73E89339" w14:textId="54EAA04D" w:rsidR="00BC2F24" w:rsidRDefault="00215D0D" w:rsidP="00D25660">
            <w:r>
              <w:t>162</w:t>
            </w:r>
          </w:p>
        </w:tc>
      </w:tr>
      <w:tr w:rsidR="00BC2F24" w14:paraId="5D80A23A" w14:textId="77777777" w:rsidTr="00BC2F24">
        <w:tc>
          <w:tcPr>
            <w:tcW w:w="3116" w:type="dxa"/>
          </w:tcPr>
          <w:p w14:paraId="65F17534" w14:textId="50162C68" w:rsidR="00BC2F24" w:rsidRPr="00BC2F24" w:rsidRDefault="00B90C7D" w:rsidP="00D25660">
            <w:r w:rsidRPr="00B90C7D">
              <w:t>QRICH200K</w:t>
            </w:r>
          </w:p>
        </w:tc>
        <w:tc>
          <w:tcPr>
            <w:tcW w:w="3117" w:type="dxa"/>
          </w:tcPr>
          <w:p w14:paraId="7B2A2C52" w14:textId="2C76E1B1" w:rsidR="00BC2F24" w:rsidRDefault="00B90C7D" w:rsidP="00D25660">
            <w:r>
              <w:t>105</w:t>
            </w:r>
          </w:p>
        </w:tc>
        <w:tc>
          <w:tcPr>
            <w:tcW w:w="3117" w:type="dxa"/>
          </w:tcPr>
          <w:p w14:paraId="1BF33D3A" w14:textId="2AAA771C" w:rsidR="00BC2F24" w:rsidRDefault="00215D0D" w:rsidP="00D25660">
            <w:r>
              <w:t>135</w:t>
            </w:r>
          </w:p>
        </w:tc>
      </w:tr>
    </w:tbl>
    <w:p w14:paraId="68C83C85" w14:textId="47DBD626" w:rsidR="006E5302" w:rsidRDefault="006E5302" w:rsidP="00D25660"/>
    <w:p w14:paraId="0882D649" w14:textId="6820295F" w:rsidR="00215D0D" w:rsidRDefault="00215D0D" w:rsidP="00215D0D">
      <w:pPr>
        <w:jc w:val="center"/>
      </w:pPr>
      <w:r>
        <w:rPr>
          <w:rFonts w:hint="eastAsia"/>
          <w:noProof/>
        </w:rPr>
        <w:drawing>
          <wp:inline distT="0" distB="0" distL="0" distR="0" wp14:anchorId="34E01979" wp14:editId="6BEF65DE">
            <wp:extent cx="5943600" cy="586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7FE2" w14:textId="2F0ECFCA" w:rsidR="00B67495" w:rsidRDefault="00215D0D" w:rsidP="00D25660">
      <w:r>
        <w:lastRenderedPageBreak/>
        <w:t xml:space="preserve">As for the </w:t>
      </w:r>
      <w:r w:rsidR="00B67495">
        <w:t xml:space="preserve">rest 19 variables, </w:t>
      </w:r>
      <w:r>
        <w:t xml:space="preserve">we do the standardization. </w:t>
      </w:r>
    </w:p>
    <w:p w14:paraId="664651FF" w14:textId="32C486C5" w:rsidR="00215D0D" w:rsidRDefault="00215D0D" w:rsidP="00D25660"/>
    <w:p w14:paraId="3872F2F5" w14:textId="56CC0351" w:rsidR="00215D0D" w:rsidRDefault="00215D0D" w:rsidP="00D25660">
      <w:bookmarkStart w:id="0" w:name="OLE_LINK85"/>
      <w:bookmarkStart w:id="1" w:name="OLE_LINK86"/>
      <w:r>
        <w:t>2, flood data</w:t>
      </w:r>
    </w:p>
    <w:p w14:paraId="6BA82A4B" w14:textId="3922F10C" w:rsidR="00215D0D" w:rsidRDefault="00215D0D" w:rsidP="00D25660">
      <w:r>
        <w:t xml:space="preserve">For flood hazards factors, </w:t>
      </w:r>
      <w:r w:rsidR="00985F8D">
        <w:t xml:space="preserve">we have four factors to be used in clustering. The distribution of these four factors </w:t>
      </w:r>
      <w:proofErr w:type="gramStart"/>
      <w:r w:rsidR="00985F8D">
        <w:t>are</w:t>
      </w:r>
      <w:proofErr w:type="gramEnd"/>
      <w:r w:rsidR="00985F8D">
        <w:t xml:space="preserve"> shown in the following figure. We also do the standardization for four factors.</w:t>
      </w:r>
    </w:p>
    <w:bookmarkEnd w:id="0"/>
    <w:bookmarkEnd w:id="1"/>
    <w:p w14:paraId="3C3818BA" w14:textId="0C863C91" w:rsidR="00215D0D" w:rsidRDefault="00215D0D" w:rsidP="00D25660">
      <w:r>
        <w:rPr>
          <w:rFonts w:hint="eastAsia"/>
          <w:noProof/>
        </w:rPr>
        <w:drawing>
          <wp:inline distT="0" distB="0" distL="0" distR="0" wp14:anchorId="7DB1B81B" wp14:editId="6ED75B07">
            <wp:extent cx="594360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7A87" w14:textId="4403E63E" w:rsidR="00985F8D" w:rsidRDefault="00985F8D" w:rsidP="00985F8D">
      <w:r>
        <w:t>2, wildfire data</w:t>
      </w:r>
    </w:p>
    <w:p w14:paraId="45284B88" w14:textId="6DDE6BD5" w:rsidR="00985F8D" w:rsidRDefault="00985F8D" w:rsidP="00985F8D">
      <w:r>
        <w:t xml:space="preserve">For wildfire hazards factors, we have six factors to be used in clustering. The distribution of these six factors </w:t>
      </w:r>
      <w:proofErr w:type="gramStart"/>
      <w:r>
        <w:t>are</w:t>
      </w:r>
      <w:proofErr w:type="gramEnd"/>
      <w:r>
        <w:t xml:space="preserve"> shown in the following figure. We also do the standardization for six factors.</w:t>
      </w:r>
    </w:p>
    <w:p w14:paraId="14CE4D09" w14:textId="5BCF3A57" w:rsidR="00985F8D" w:rsidRDefault="00985F8D" w:rsidP="00985F8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7FDFA64" wp14:editId="5486C435">
            <wp:extent cx="59436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B90A" w14:textId="77777777" w:rsidR="00215D0D" w:rsidRDefault="00215D0D" w:rsidP="00D25660"/>
    <w:p w14:paraId="0BF0EB7D" w14:textId="546D82E3" w:rsidR="00985F8D" w:rsidRDefault="00985F8D" w:rsidP="00985F8D">
      <w:r>
        <w:t>2, seismic data</w:t>
      </w:r>
    </w:p>
    <w:p w14:paraId="3486DD19" w14:textId="49327BCD" w:rsidR="00985F8D" w:rsidRDefault="00985F8D" w:rsidP="00985F8D">
      <w:r>
        <w:t xml:space="preserve">For seismic hazards factors, we have seven factors to be used in clustering. The distribution of these seven factors </w:t>
      </w:r>
      <w:proofErr w:type="gramStart"/>
      <w:r>
        <w:t>are</w:t>
      </w:r>
      <w:proofErr w:type="gramEnd"/>
      <w:r>
        <w:t xml:space="preserve"> shown in the following figure. We also do the standardization for seven factors.</w:t>
      </w:r>
    </w:p>
    <w:p w14:paraId="3989E351" w14:textId="5CA1A2A0" w:rsidR="00B67495" w:rsidRDefault="00985F8D" w:rsidP="00985F8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FE8C531" wp14:editId="529FB848">
            <wp:extent cx="5943600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209" w14:textId="1F5048A3" w:rsidR="000F74C3" w:rsidRDefault="000F74C3" w:rsidP="00D25660"/>
    <w:p w14:paraId="65FF53EE" w14:textId="77777777" w:rsidR="008B1106" w:rsidRDefault="008B1106" w:rsidP="00D25660"/>
    <w:p w14:paraId="389101E1" w14:textId="07E55C8D" w:rsidR="00B67495" w:rsidRDefault="00B67495" w:rsidP="00D25660"/>
    <w:p w14:paraId="051C3C0F" w14:textId="06A77540" w:rsidR="006D1A51" w:rsidRDefault="006D1A51" w:rsidP="00D25660">
      <w:r>
        <w:t>Annotation:</w:t>
      </w:r>
    </w:p>
    <w:p w14:paraId="6149CDAC" w14:textId="67642CE1" w:rsidR="006D1A51" w:rsidRDefault="006D1A51" w:rsidP="00D25660"/>
    <w:p w14:paraId="091A9513" w14:textId="7B86DC59" w:rsidR="006D1A51" w:rsidRDefault="00733471" w:rsidP="00D25660">
      <w:r>
        <w:t>Flood risk:</w:t>
      </w:r>
    </w:p>
    <w:p w14:paraId="7FC048AD" w14:textId="0EB108EA" w:rsidR="00733471" w:rsidRDefault="00733471" w:rsidP="00D25660"/>
    <w:p w14:paraId="72B13A17" w14:textId="16000931" w:rsidR="00733471" w:rsidRDefault="00733471" w:rsidP="00D25660"/>
    <w:p w14:paraId="1A6D61BD" w14:textId="6FFC6024" w:rsidR="00733471" w:rsidRDefault="00733471" w:rsidP="00D25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</w:tblGrid>
      <w:tr w:rsidR="00733471" w14:paraId="4042973F" w14:textId="77777777" w:rsidTr="00733471">
        <w:tc>
          <w:tcPr>
            <w:tcW w:w="1615" w:type="dxa"/>
          </w:tcPr>
          <w:p w14:paraId="726975AC" w14:textId="0D05D807" w:rsidR="00733471" w:rsidRDefault="00733471" w:rsidP="00733471">
            <w:r>
              <w:t>value</w:t>
            </w:r>
          </w:p>
        </w:tc>
        <w:tc>
          <w:tcPr>
            <w:tcW w:w="3059" w:type="dxa"/>
          </w:tcPr>
          <w:p w14:paraId="52D4400B" w14:textId="2F44763A" w:rsidR="00733471" w:rsidRDefault="00733471" w:rsidP="00D25660">
            <w:r>
              <w:t>level</w:t>
            </w:r>
          </w:p>
        </w:tc>
      </w:tr>
      <w:tr w:rsidR="00733471" w14:paraId="744477BA" w14:textId="77777777" w:rsidTr="00733471">
        <w:tc>
          <w:tcPr>
            <w:tcW w:w="1615" w:type="dxa"/>
          </w:tcPr>
          <w:p w14:paraId="55B125F3" w14:textId="0CDD0471" w:rsidR="00733471" w:rsidRDefault="00733471" w:rsidP="00D25660">
            <w:r>
              <w:t>0</w:t>
            </w:r>
          </w:p>
        </w:tc>
        <w:tc>
          <w:tcPr>
            <w:tcW w:w="3059" w:type="dxa"/>
          </w:tcPr>
          <w:p w14:paraId="0809C1DC" w14:textId="08ABEE6E" w:rsidR="00733471" w:rsidRDefault="00733471" w:rsidP="00D25660">
            <w:r>
              <w:t>Z(Zero)</w:t>
            </w:r>
          </w:p>
        </w:tc>
      </w:tr>
      <w:tr w:rsidR="00733471" w14:paraId="4686F188" w14:textId="77777777" w:rsidTr="00733471">
        <w:tc>
          <w:tcPr>
            <w:tcW w:w="1615" w:type="dxa"/>
          </w:tcPr>
          <w:p w14:paraId="01B222CB" w14:textId="4ADCE1C1" w:rsidR="00733471" w:rsidRDefault="00733471" w:rsidP="00D25660">
            <w:r>
              <w:t>0-25%</w:t>
            </w:r>
          </w:p>
        </w:tc>
        <w:tc>
          <w:tcPr>
            <w:tcW w:w="3059" w:type="dxa"/>
          </w:tcPr>
          <w:p w14:paraId="29ED81EA" w14:textId="331909F4" w:rsidR="00733471" w:rsidRDefault="00733471" w:rsidP="00D25660">
            <w:r>
              <w:t>L(low)</w:t>
            </w:r>
          </w:p>
        </w:tc>
      </w:tr>
      <w:tr w:rsidR="00733471" w14:paraId="5A77A93D" w14:textId="77777777" w:rsidTr="00733471">
        <w:tc>
          <w:tcPr>
            <w:tcW w:w="1615" w:type="dxa"/>
          </w:tcPr>
          <w:p w14:paraId="41ECC878" w14:textId="37CC34BE" w:rsidR="00733471" w:rsidRDefault="00733471" w:rsidP="00D25660">
            <w:r>
              <w:t>25-50%</w:t>
            </w:r>
          </w:p>
        </w:tc>
        <w:tc>
          <w:tcPr>
            <w:tcW w:w="3059" w:type="dxa"/>
          </w:tcPr>
          <w:p w14:paraId="33D38A2C" w14:textId="469111E4" w:rsidR="00733471" w:rsidRDefault="00733471" w:rsidP="00D25660">
            <w:proofErr w:type="gramStart"/>
            <w:r>
              <w:t>LM(</w:t>
            </w:r>
            <w:proofErr w:type="gramEnd"/>
            <w:r>
              <w:t>low to median)</w:t>
            </w:r>
          </w:p>
        </w:tc>
      </w:tr>
      <w:tr w:rsidR="00733471" w14:paraId="3229E904" w14:textId="77777777" w:rsidTr="00733471">
        <w:tc>
          <w:tcPr>
            <w:tcW w:w="1615" w:type="dxa"/>
          </w:tcPr>
          <w:p w14:paraId="3BA4640C" w14:textId="0AF7C9A9" w:rsidR="00733471" w:rsidRDefault="00733471" w:rsidP="00D25660">
            <w:r>
              <w:t>50%-75</w:t>
            </w:r>
          </w:p>
        </w:tc>
        <w:tc>
          <w:tcPr>
            <w:tcW w:w="3059" w:type="dxa"/>
          </w:tcPr>
          <w:p w14:paraId="2C9F06DD" w14:textId="055A758F" w:rsidR="00733471" w:rsidRDefault="00733471" w:rsidP="00D25660">
            <w:proofErr w:type="gramStart"/>
            <w:r>
              <w:t>MH(</w:t>
            </w:r>
            <w:proofErr w:type="gramEnd"/>
            <w:r>
              <w:t>median to high)</w:t>
            </w:r>
          </w:p>
        </w:tc>
      </w:tr>
      <w:tr w:rsidR="00733471" w14:paraId="1695B7DE" w14:textId="77777777" w:rsidTr="00733471">
        <w:tc>
          <w:tcPr>
            <w:tcW w:w="1615" w:type="dxa"/>
          </w:tcPr>
          <w:p w14:paraId="4E111F72" w14:textId="4F9084FB" w:rsidR="00733471" w:rsidRDefault="00733471" w:rsidP="00D25660">
            <w:r>
              <w:t>75-100%</w:t>
            </w:r>
          </w:p>
        </w:tc>
        <w:tc>
          <w:tcPr>
            <w:tcW w:w="3059" w:type="dxa"/>
          </w:tcPr>
          <w:p w14:paraId="01F0272B" w14:textId="19EAB0E7" w:rsidR="00733471" w:rsidRDefault="00733471" w:rsidP="00D25660">
            <w:r>
              <w:t>H(High)</w:t>
            </w:r>
          </w:p>
        </w:tc>
      </w:tr>
    </w:tbl>
    <w:p w14:paraId="0B7BF9A6" w14:textId="36796EA2" w:rsidR="00733471" w:rsidRDefault="00733471" w:rsidP="00D25660"/>
    <w:p w14:paraId="4446DB32" w14:textId="6D53EA86" w:rsidR="006D1A51" w:rsidRDefault="006D1A51" w:rsidP="00D25660"/>
    <w:p w14:paraId="4758FCF5" w14:textId="77777777" w:rsidR="006D1A51" w:rsidRDefault="006D1A51" w:rsidP="00D25660"/>
    <w:sectPr w:rsidR="006D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1471"/>
    <w:multiLevelType w:val="hybridMultilevel"/>
    <w:tmpl w:val="68C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45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F6"/>
    <w:rsid w:val="000F74C3"/>
    <w:rsid w:val="00215D0D"/>
    <w:rsid w:val="00231C97"/>
    <w:rsid w:val="00510EF7"/>
    <w:rsid w:val="006100B3"/>
    <w:rsid w:val="006D1A51"/>
    <w:rsid w:val="006E5302"/>
    <w:rsid w:val="00733471"/>
    <w:rsid w:val="00805C9A"/>
    <w:rsid w:val="008B1106"/>
    <w:rsid w:val="00985F8D"/>
    <w:rsid w:val="00B41AC5"/>
    <w:rsid w:val="00B67495"/>
    <w:rsid w:val="00B73BF1"/>
    <w:rsid w:val="00B90C7D"/>
    <w:rsid w:val="00BC2F24"/>
    <w:rsid w:val="00D25660"/>
    <w:rsid w:val="00D826D2"/>
    <w:rsid w:val="00E3799A"/>
    <w:rsid w:val="00E37BA7"/>
    <w:rsid w:val="00EC2336"/>
    <w:rsid w:val="00E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EB6FA"/>
  <w15:chartTrackingRefBased/>
  <w15:docId w15:val="{AC1A3994-EB24-2144-9ED7-20B5DCC7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249</Words>
  <Characters>1355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2022-11-16T01:48:00Z</dcterms:created>
  <dcterms:modified xsi:type="dcterms:W3CDTF">2022-11-17T00:57:00Z</dcterms:modified>
</cp:coreProperties>
</file>