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6B4E" w14:textId="75F86246" w:rsidR="00AA47F7" w:rsidRPr="00714987" w:rsidRDefault="00000000">
      <w:pPr>
        <w:pStyle w:val="af5"/>
        <w:rPr>
          <w:szCs w:val="28"/>
        </w:rPr>
      </w:pPr>
      <w:r w:rsidRPr="00714987">
        <w:rPr>
          <w:szCs w:val="28"/>
        </w:rPr>
        <w:t xml:space="preserve">Verification and analysis of </w:t>
      </w:r>
      <w:r w:rsidR="00C24F7F">
        <w:rPr>
          <w:szCs w:val="28"/>
        </w:rPr>
        <w:t xml:space="preserve">the </w:t>
      </w:r>
      <w:r w:rsidRPr="00714987">
        <w:rPr>
          <w:szCs w:val="28"/>
        </w:rPr>
        <w:t>Standard Urban Model in Manchester</w:t>
      </w:r>
    </w:p>
    <w:tbl>
      <w:tblPr>
        <w:tblStyle w:val="af9"/>
        <w:tblW w:w="0" w:type="auto"/>
        <w:jc w:val="center"/>
        <w:tblCellMar>
          <w:top w:w="57" w:type="dxa"/>
          <w:left w:w="57" w:type="dxa"/>
          <w:bottom w:w="57" w:type="dxa"/>
          <w:right w:w="57" w:type="dxa"/>
        </w:tblCellMar>
        <w:tblLook w:val="04A0" w:firstRow="1" w:lastRow="0" w:firstColumn="1" w:lastColumn="0" w:noHBand="0" w:noVBand="1"/>
      </w:tblPr>
      <w:tblGrid>
        <w:gridCol w:w="4957"/>
        <w:gridCol w:w="3531"/>
      </w:tblGrid>
      <w:tr w:rsidR="00714987" w:rsidRPr="00714987" w14:paraId="77409CB0" w14:textId="77777777">
        <w:trPr>
          <w:jc w:val="center"/>
        </w:trPr>
        <w:tc>
          <w:tcPr>
            <w:tcW w:w="4957" w:type="dxa"/>
          </w:tcPr>
          <w:p w14:paraId="6BB85039" w14:textId="77777777" w:rsidR="00AA47F7" w:rsidRPr="00714987" w:rsidRDefault="00000000">
            <w:pPr>
              <w:spacing w:before="0" w:line="240" w:lineRule="auto"/>
              <w:rPr>
                <w:rFonts w:ascii="Calibri" w:hAnsi="Calibri"/>
                <w:i/>
                <w:sz w:val="21"/>
              </w:rPr>
            </w:pPr>
            <w:r w:rsidRPr="00714987">
              <w:rPr>
                <w:rFonts w:ascii="Calibri" w:hAnsi="Calibri"/>
                <w:i/>
                <w:sz w:val="21"/>
              </w:rPr>
              <w:t>Word Count (excluding list of references):</w:t>
            </w:r>
          </w:p>
        </w:tc>
        <w:tc>
          <w:tcPr>
            <w:tcW w:w="3531" w:type="dxa"/>
          </w:tcPr>
          <w:p w14:paraId="18EA8016" w14:textId="3EECE5FA" w:rsidR="00AA47F7" w:rsidRPr="00714987" w:rsidRDefault="00000000">
            <w:pPr>
              <w:spacing w:before="0" w:line="240" w:lineRule="auto"/>
              <w:rPr>
                <w:rFonts w:ascii="Calibri" w:hAnsi="Calibri"/>
                <w:i/>
                <w:sz w:val="21"/>
                <w:lang w:eastAsia="zh-CN"/>
              </w:rPr>
            </w:pPr>
            <w:r w:rsidRPr="00714987">
              <w:rPr>
                <w:rFonts w:ascii="Calibri" w:hAnsi="Calibri" w:hint="eastAsia"/>
                <w:i/>
                <w:sz w:val="21"/>
                <w:lang w:eastAsia="zh-CN"/>
              </w:rPr>
              <w:t>9</w:t>
            </w:r>
            <w:r w:rsidR="00CA0A21">
              <w:rPr>
                <w:rFonts w:ascii="Calibri" w:hAnsi="Calibri"/>
                <w:i/>
                <w:sz w:val="21"/>
                <w:lang w:eastAsia="zh-CN"/>
              </w:rPr>
              <w:t>7</w:t>
            </w:r>
            <w:r w:rsidR="00C70276">
              <w:rPr>
                <w:rFonts w:ascii="Calibri" w:hAnsi="Calibri"/>
                <w:i/>
                <w:sz w:val="21"/>
                <w:lang w:eastAsia="zh-CN"/>
              </w:rPr>
              <w:t>2</w:t>
            </w:r>
          </w:p>
        </w:tc>
      </w:tr>
    </w:tbl>
    <w:p w14:paraId="07618B74" w14:textId="77777777" w:rsidR="00AA47F7" w:rsidRPr="00714987" w:rsidRDefault="00000000">
      <w:pPr>
        <w:pStyle w:val="1"/>
        <w:rPr>
          <w:szCs w:val="24"/>
        </w:rPr>
      </w:pPr>
      <w:r w:rsidRPr="00714987">
        <w:rPr>
          <w:szCs w:val="24"/>
        </w:rPr>
        <w:t>Introduction</w:t>
      </w:r>
    </w:p>
    <w:p w14:paraId="442FA806" w14:textId="2159DFD2" w:rsidR="00AA47F7" w:rsidRDefault="00000000">
      <w:r w:rsidRPr="00714987">
        <w:t xml:space="preserve">This paper will briefly discuss whether Manchester is suitable for </w:t>
      </w:r>
      <w:r w:rsidR="00C24F7F">
        <w:t xml:space="preserve">the </w:t>
      </w:r>
      <w:r w:rsidRPr="00714987">
        <w:t xml:space="preserve">Standard Urban Model (Hereinafter referred to as SUM) </w:t>
      </w:r>
      <w:r w:rsidRPr="00714987">
        <w:rPr>
          <w:rFonts w:hint="eastAsia"/>
          <w:lang w:val="en-US" w:eastAsia="zh-CN"/>
        </w:rPr>
        <w:t>a</w:t>
      </w:r>
      <w:proofErr w:type="spellStart"/>
      <w:r w:rsidRPr="00714987">
        <w:t>nd</w:t>
      </w:r>
      <w:proofErr w:type="spellEnd"/>
      <w:r w:rsidRPr="00714987">
        <w:t xml:space="preserve"> explain it. First, </w:t>
      </w:r>
      <w:r w:rsidR="00426D61">
        <w:t>t</w:t>
      </w:r>
      <w:r w:rsidR="00426D61" w:rsidRPr="00426D61">
        <w:t>his article</w:t>
      </w:r>
      <w:r w:rsidR="00845358">
        <w:rPr>
          <w:lang w:eastAsia="zh-CN"/>
        </w:rPr>
        <w:t>’</w:t>
      </w:r>
      <w:r w:rsidR="00845358">
        <w:rPr>
          <w:rFonts w:hint="eastAsia"/>
          <w:lang w:eastAsia="zh-CN"/>
        </w:rPr>
        <w:t>s</w:t>
      </w:r>
      <w:r w:rsidRPr="00714987">
        <w:t xml:space="preserve"> conclusion is that Manchester is essentially in line with the concept of SUM, but in some specific details, </w:t>
      </w:r>
      <w:r w:rsidRPr="00714987">
        <w:rPr>
          <w:rFonts w:hint="eastAsia"/>
          <w:lang w:val="en-US" w:eastAsia="zh-CN"/>
        </w:rPr>
        <w:t xml:space="preserve">its several </w:t>
      </w:r>
      <w:r w:rsidRPr="00714987">
        <w:t xml:space="preserve">phenomena </w:t>
      </w:r>
      <w:r w:rsidRPr="00714987">
        <w:rPr>
          <w:rFonts w:hint="eastAsia"/>
          <w:lang w:val="en-US" w:eastAsia="zh-CN"/>
        </w:rPr>
        <w:t xml:space="preserve">are </w:t>
      </w:r>
      <w:r w:rsidRPr="00714987">
        <w:t>contrary to SUM</w:t>
      </w:r>
      <w:r w:rsidR="004C3A9B" w:rsidRPr="00714987">
        <w:rPr>
          <w:rFonts w:hint="eastAsia"/>
          <w:lang w:eastAsia="zh-CN"/>
        </w:rPr>
        <w:t>.</w:t>
      </w:r>
      <w:r w:rsidRPr="00714987">
        <w:rPr>
          <w:rFonts w:hint="eastAsia"/>
          <w:lang w:val="en-US" w:eastAsia="zh-CN"/>
        </w:rPr>
        <w:t xml:space="preserve"> </w:t>
      </w:r>
      <w:r w:rsidR="00F44F5A">
        <w:rPr>
          <w:lang w:val="en-US" w:eastAsia="zh-CN"/>
        </w:rPr>
        <w:t>B</w:t>
      </w:r>
      <w:r w:rsidR="00F44F5A">
        <w:rPr>
          <w:rFonts w:hint="eastAsia"/>
          <w:lang w:val="en-US" w:eastAsia="zh-CN"/>
        </w:rPr>
        <w:t>y</w:t>
      </w:r>
      <w:r w:rsidRPr="00714987">
        <w:t xml:space="preserve"> the analysis of data</w:t>
      </w:r>
      <w:r w:rsidRPr="00714987">
        <w:rPr>
          <w:rFonts w:hint="eastAsia"/>
          <w:lang w:val="en-US" w:eastAsia="zh-CN"/>
        </w:rPr>
        <w:t xml:space="preserve"> from diverse cities</w:t>
      </w:r>
      <w:r w:rsidRPr="00714987">
        <w:t>,</w:t>
      </w:r>
      <w:r w:rsidR="00426D61" w:rsidRPr="00426D61">
        <w:t xml:space="preserve"> </w:t>
      </w:r>
      <w:r w:rsidR="00426D61">
        <w:t>t</w:t>
      </w:r>
      <w:r w:rsidR="00426D61" w:rsidRPr="00426D61">
        <w:t>his article</w:t>
      </w:r>
      <w:r w:rsidRPr="00714987">
        <w:t xml:space="preserve"> will </w:t>
      </w:r>
      <w:r w:rsidRPr="00714987">
        <w:rPr>
          <w:rFonts w:hint="eastAsia"/>
          <w:lang w:val="en-US" w:eastAsia="zh-CN"/>
        </w:rPr>
        <w:t>demonstrate</w:t>
      </w:r>
      <w:r w:rsidRPr="00714987">
        <w:t xml:space="preserve"> that Manchester </w:t>
      </w:r>
      <w:r w:rsidR="00A515AD" w:rsidRPr="00A515AD">
        <w:t>generally</w:t>
      </w:r>
      <w:r w:rsidRPr="00714987">
        <w:t xml:space="preserve"> </w:t>
      </w:r>
      <w:r w:rsidRPr="00714987">
        <w:rPr>
          <w:rFonts w:hint="eastAsia"/>
          <w:lang w:val="en-US" w:eastAsia="zh-CN"/>
        </w:rPr>
        <w:t xml:space="preserve">suits </w:t>
      </w:r>
      <w:r w:rsidRPr="00714987">
        <w:t xml:space="preserve">SUM from three aspects and </w:t>
      </w:r>
      <w:proofErr w:type="spellStart"/>
      <w:r w:rsidRPr="00714987">
        <w:t>analy</w:t>
      </w:r>
      <w:r w:rsidR="00845358">
        <w:rPr>
          <w:rFonts w:hint="eastAsia"/>
          <w:lang w:eastAsia="zh-CN"/>
        </w:rPr>
        <w:t>z</w:t>
      </w:r>
      <w:r w:rsidRPr="00714987">
        <w:t>e</w:t>
      </w:r>
      <w:proofErr w:type="spellEnd"/>
      <w:r w:rsidRPr="00714987">
        <w:t xml:space="preserve"> the limitations of SUM from another three aspects.</w:t>
      </w:r>
    </w:p>
    <w:p w14:paraId="6F7810B9" w14:textId="42A9C9B1" w:rsidR="009D76EE" w:rsidRPr="00714987" w:rsidRDefault="009D76EE" w:rsidP="009D76EE">
      <w:pPr>
        <w:pStyle w:val="1"/>
        <w:rPr>
          <w:szCs w:val="24"/>
        </w:rPr>
      </w:pPr>
      <w:r w:rsidRPr="009D76EE">
        <w:rPr>
          <w:szCs w:val="24"/>
        </w:rPr>
        <w:t xml:space="preserve">Relationship between SUM and the Alonso </w:t>
      </w:r>
      <w:r>
        <w:rPr>
          <w:szCs w:val="24"/>
        </w:rPr>
        <w:t>Bid-</w:t>
      </w:r>
      <w:r w:rsidRPr="009D76EE">
        <w:rPr>
          <w:szCs w:val="24"/>
        </w:rPr>
        <w:t>Rent Model</w:t>
      </w:r>
    </w:p>
    <w:p w14:paraId="7FC624A0" w14:textId="1FA5BA73" w:rsidR="009D76EE" w:rsidRPr="00714987" w:rsidRDefault="009D76EE">
      <w:r w:rsidRPr="009D76EE">
        <w:rPr>
          <w:lang w:eastAsia="zh-CN"/>
        </w:rPr>
        <w:t xml:space="preserve">As the foundation of the urban economic model, Von </w:t>
      </w:r>
      <w:proofErr w:type="spellStart"/>
      <w:r w:rsidRPr="009D76EE">
        <w:rPr>
          <w:lang w:eastAsia="zh-CN"/>
        </w:rPr>
        <w:t>Thunen</w:t>
      </w:r>
      <w:proofErr w:type="spellEnd"/>
      <w:r w:rsidRPr="009D76EE">
        <w:rPr>
          <w:lang w:eastAsia="zh-CN"/>
        </w:rPr>
        <w:t xml:space="preserve"> Theory </w:t>
      </w:r>
      <w:r w:rsidR="00A515AD">
        <w:rPr>
          <w:lang w:eastAsia="zh-CN"/>
        </w:rPr>
        <w:t>provides</w:t>
      </w:r>
      <w:r w:rsidRPr="009D76EE">
        <w:rPr>
          <w:lang w:eastAsia="zh-CN"/>
        </w:rPr>
        <w:t xml:space="preserve"> a </w:t>
      </w:r>
      <w:r w:rsidR="00A515AD">
        <w:rPr>
          <w:lang w:eastAsia="zh-CN"/>
        </w:rPr>
        <w:t xml:space="preserve">solid </w:t>
      </w:r>
      <w:r w:rsidRPr="009D76EE">
        <w:rPr>
          <w:lang w:eastAsia="zh-CN"/>
        </w:rPr>
        <w:t>Basic theory for the later Alonso Bid-rent model (Alonso, 1964). Thus, the Alonso Bid-rent model is also called SUM</w:t>
      </w:r>
      <w:r w:rsidR="00A515AD">
        <w:rPr>
          <w:lang w:eastAsia="zh-CN"/>
        </w:rPr>
        <w:t xml:space="preserve"> </w:t>
      </w:r>
      <w:r w:rsidRPr="009D76EE">
        <w:rPr>
          <w:lang w:eastAsia="zh-CN"/>
        </w:rPr>
        <w:t xml:space="preserve">(Blackley and </w:t>
      </w:r>
      <w:proofErr w:type="spellStart"/>
      <w:r w:rsidRPr="009D76EE">
        <w:rPr>
          <w:lang w:eastAsia="zh-CN"/>
        </w:rPr>
        <w:t>Follain</w:t>
      </w:r>
      <w:proofErr w:type="spellEnd"/>
      <w:r w:rsidRPr="009D76EE">
        <w:rPr>
          <w:lang w:eastAsia="zh-CN"/>
        </w:rPr>
        <w:t xml:space="preserve">, 1987; </w:t>
      </w:r>
      <w:proofErr w:type="spellStart"/>
      <w:r w:rsidRPr="009D76EE">
        <w:rPr>
          <w:lang w:eastAsia="zh-CN"/>
        </w:rPr>
        <w:t>Brueckner</w:t>
      </w:r>
      <w:proofErr w:type="spellEnd"/>
      <w:r w:rsidRPr="009D76EE">
        <w:rPr>
          <w:lang w:eastAsia="zh-CN"/>
        </w:rPr>
        <w:t xml:space="preserve">, </w:t>
      </w:r>
      <w:proofErr w:type="spellStart"/>
      <w:r w:rsidRPr="009D76EE">
        <w:rPr>
          <w:lang w:eastAsia="zh-CN"/>
        </w:rPr>
        <w:t>Thisse</w:t>
      </w:r>
      <w:proofErr w:type="spellEnd"/>
      <w:r w:rsidRPr="009D76EE">
        <w:rPr>
          <w:lang w:eastAsia="zh-CN"/>
        </w:rPr>
        <w:t xml:space="preserve"> and </w:t>
      </w:r>
      <w:proofErr w:type="spellStart"/>
      <w:r w:rsidRPr="009D76EE">
        <w:rPr>
          <w:lang w:eastAsia="zh-CN"/>
        </w:rPr>
        <w:t>Zenou</w:t>
      </w:r>
      <w:proofErr w:type="spellEnd"/>
      <w:r w:rsidRPr="009D76EE">
        <w:rPr>
          <w:lang w:eastAsia="zh-CN"/>
        </w:rPr>
        <w:t>, 1999).</w:t>
      </w:r>
    </w:p>
    <w:p w14:paraId="734DC192" w14:textId="77777777" w:rsidR="00AA47F7" w:rsidRPr="00714987" w:rsidRDefault="00000000">
      <w:pPr>
        <w:pStyle w:val="1"/>
        <w:rPr>
          <w:szCs w:val="24"/>
        </w:rPr>
      </w:pPr>
      <w:r w:rsidRPr="00714987">
        <w:rPr>
          <w:szCs w:val="24"/>
        </w:rPr>
        <w:t>Methods of data collection and analysis</w:t>
      </w:r>
    </w:p>
    <w:p w14:paraId="0908049D" w14:textId="194169E1" w:rsidR="00AA47F7" w:rsidRPr="00714987" w:rsidRDefault="00CF67BC">
      <w:pPr>
        <w:rPr>
          <w:lang w:eastAsia="zh-CN"/>
        </w:rPr>
      </w:pPr>
      <w:r>
        <w:rPr>
          <w:lang w:eastAsia="zh-CN"/>
        </w:rPr>
        <w:t>T</w:t>
      </w:r>
      <w:r w:rsidRPr="00714987">
        <w:rPr>
          <w:rFonts w:hint="eastAsia"/>
          <w:lang w:eastAsia="zh-CN"/>
        </w:rPr>
        <w:t>o show Manchester realistically</w:t>
      </w:r>
      <w:r w:rsidRPr="00714987">
        <w:rPr>
          <w:rFonts w:hint="eastAsia"/>
          <w:lang w:val="en-US" w:eastAsia="zh-CN"/>
        </w:rPr>
        <w:t xml:space="preserve"> and </w:t>
      </w:r>
      <w:r w:rsidRPr="00714987">
        <w:rPr>
          <w:lang w:eastAsia="zh-CN"/>
        </w:rPr>
        <w:t>objectively</w:t>
      </w:r>
      <w:r w:rsidRPr="00714987">
        <w:rPr>
          <w:rFonts w:hint="eastAsia"/>
          <w:lang w:eastAsia="zh-CN"/>
        </w:rPr>
        <w:t>,</w:t>
      </w:r>
      <w:r w:rsidR="00A515AD">
        <w:t xml:space="preserve"> </w:t>
      </w:r>
      <w:r w:rsidR="00C70276" w:rsidRPr="00714987">
        <w:t>this</w:t>
      </w:r>
      <w:r w:rsidR="00775CC7" w:rsidRPr="00714987">
        <w:t xml:space="preserve"> article </w:t>
      </w:r>
      <w:r w:rsidR="00775CC7" w:rsidRPr="00714987">
        <w:rPr>
          <w:rFonts w:hint="eastAsia"/>
          <w:lang w:eastAsia="zh-CN"/>
        </w:rPr>
        <w:t>use</w:t>
      </w:r>
      <w:r w:rsidR="00845358">
        <w:rPr>
          <w:rFonts w:hint="eastAsia"/>
          <w:lang w:eastAsia="zh-CN"/>
        </w:rPr>
        <w:t>s</w:t>
      </w:r>
      <w:r w:rsidR="00775CC7" w:rsidRPr="00714987">
        <w:t xml:space="preserve"> </w:t>
      </w:r>
      <w:r w:rsidRPr="00714987">
        <w:rPr>
          <w:lang w:eastAsia="zh-CN"/>
        </w:rPr>
        <w:t>Data sources</w:t>
      </w:r>
      <w:r w:rsidRPr="00714987">
        <w:rPr>
          <w:rFonts w:hint="eastAsia"/>
          <w:lang w:val="en-US" w:eastAsia="zh-CN"/>
        </w:rPr>
        <w:t xml:space="preserve"> like</w:t>
      </w:r>
      <w:r w:rsidRPr="00714987">
        <w:rPr>
          <w:lang w:eastAsia="zh-CN"/>
        </w:rPr>
        <w:t xml:space="preserve"> </w:t>
      </w:r>
      <w:r w:rsidRPr="00714987">
        <w:rPr>
          <w:rFonts w:hint="eastAsia"/>
          <w:lang w:eastAsia="zh-CN"/>
        </w:rPr>
        <w:t>the official website of the British government</w:t>
      </w:r>
      <w:r w:rsidRPr="00714987">
        <w:rPr>
          <w:lang w:eastAsia="zh-CN"/>
        </w:rPr>
        <w:t xml:space="preserve">, </w:t>
      </w:r>
      <w:r w:rsidRPr="00714987">
        <w:rPr>
          <w:rFonts w:hint="eastAsia"/>
          <w:lang w:eastAsia="zh-CN"/>
        </w:rPr>
        <w:t>Office</w:t>
      </w:r>
      <w:r w:rsidRPr="00714987">
        <w:rPr>
          <w:lang w:eastAsia="zh-CN"/>
        </w:rPr>
        <w:t xml:space="preserve"> </w:t>
      </w:r>
      <w:r w:rsidRPr="00714987">
        <w:rPr>
          <w:rFonts w:hint="eastAsia"/>
          <w:lang w:eastAsia="zh-CN"/>
        </w:rPr>
        <w:t>for</w:t>
      </w:r>
      <w:r w:rsidRPr="00714987">
        <w:rPr>
          <w:lang w:eastAsia="zh-CN"/>
        </w:rPr>
        <w:t xml:space="preserve"> N</w:t>
      </w:r>
      <w:r w:rsidRPr="00714987">
        <w:rPr>
          <w:rFonts w:hint="eastAsia"/>
          <w:lang w:eastAsia="zh-CN"/>
        </w:rPr>
        <w:t>ational</w:t>
      </w:r>
      <w:r w:rsidRPr="00714987">
        <w:rPr>
          <w:lang w:eastAsia="zh-CN"/>
        </w:rPr>
        <w:t xml:space="preserve"> S</w:t>
      </w:r>
      <w:r w:rsidRPr="00714987">
        <w:rPr>
          <w:rFonts w:hint="eastAsia"/>
          <w:lang w:eastAsia="zh-CN"/>
        </w:rPr>
        <w:t>tatistics,</w:t>
      </w:r>
      <w:r w:rsidRPr="00714987">
        <w:rPr>
          <w:lang w:eastAsia="zh-CN"/>
        </w:rPr>
        <w:t xml:space="preserve"> </w:t>
      </w:r>
      <w:r w:rsidRPr="00714987">
        <w:rPr>
          <w:rFonts w:hint="eastAsia"/>
          <w:lang w:eastAsia="zh-CN"/>
        </w:rPr>
        <w:t>U</w:t>
      </w:r>
      <w:r w:rsidRPr="00714987">
        <w:rPr>
          <w:lang w:eastAsia="zh-CN"/>
        </w:rPr>
        <w:t>K D</w:t>
      </w:r>
      <w:r w:rsidRPr="00714987">
        <w:rPr>
          <w:rFonts w:hint="eastAsia"/>
          <w:lang w:eastAsia="zh-CN"/>
        </w:rPr>
        <w:t>ata</w:t>
      </w:r>
      <w:r w:rsidRPr="00714987">
        <w:rPr>
          <w:lang w:eastAsia="zh-CN"/>
        </w:rPr>
        <w:t xml:space="preserve"> S</w:t>
      </w:r>
      <w:r w:rsidRPr="00714987">
        <w:rPr>
          <w:rFonts w:hint="eastAsia"/>
          <w:lang w:eastAsia="zh-CN"/>
        </w:rPr>
        <w:t>ervice</w:t>
      </w:r>
      <w:r w:rsidRPr="00714987">
        <w:rPr>
          <w:lang w:eastAsia="zh-CN"/>
        </w:rPr>
        <w:t xml:space="preserve">, </w:t>
      </w:r>
      <w:r w:rsidRPr="00714987">
        <w:rPr>
          <w:rFonts w:hint="eastAsia"/>
          <w:lang w:eastAsia="zh-CN"/>
        </w:rPr>
        <w:t>Nomis</w:t>
      </w:r>
      <w:r w:rsidRPr="00714987">
        <w:rPr>
          <w:lang w:eastAsia="zh-CN"/>
        </w:rPr>
        <w:t xml:space="preserve">, </w:t>
      </w:r>
      <w:proofErr w:type="spellStart"/>
      <w:r w:rsidRPr="00714987">
        <w:rPr>
          <w:lang w:eastAsia="zh-CN"/>
        </w:rPr>
        <w:t>Centrefor</w:t>
      </w:r>
      <w:r w:rsidR="00775CC7" w:rsidRPr="00714987">
        <w:rPr>
          <w:rFonts w:hint="eastAsia"/>
          <w:lang w:eastAsia="zh-CN"/>
        </w:rPr>
        <w:t>cities</w:t>
      </w:r>
      <w:proofErr w:type="spellEnd"/>
      <w:r w:rsidR="00845358">
        <w:rPr>
          <w:rFonts w:hint="eastAsia"/>
          <w:lang w:eastAsia="zh-CN"/>
        </w:rPr>
        <w:t>,</w:t>
      </w:r>
      <w:r w:rsidRPr="00714987">
        <w:rPr>
          <w:rFonts w:hint="eastAsia"/>
          <w:lang w:val="en-US" w:eastAsia="zh-CN"/>
        </w:rPr>
        <w:t xml:space="preserve"> and </w:t>
      </w:r>
      <w:r w:rsidRPr="00714987">
        <w:rPr>
          <w:rFonts w:hint="eastAsia"/>
          <w:lang w:eastAsia="zh-CN"/>
        </w:rPr>
        <w:t>O</w:t>
      </w:r>
      <w:r w:rsidRPr="00714987">
        <w:rPr>
          <w:lang w:eastAsia="zh-CN"/>
        </w:rPr>
        <w:t xml:space="preserve">SM, </w:t>
      </w:r>
      <w:r w:rsidRPr="00714987">
        <w:rPr>
          <w:rFonts w:hint="eastAsia"/>
          <w:lang w:val="en-US" w:eastAsia="zh-CN"/>
        </w:rPr>
        <w:t>as well as</w:t>
      </w:r>
      <w:r w:rsidRPr="00714987">
        <w:rPr>
          <w:lang w:eastAsia="zh-CN"/>
        </w:rPr>
        <w:t xml:space="preserve"> data visualization tools, </w:t>
      </w:r>
      <w:r w:rsidRPr="00714987">
        <w:rPr>
          <w:rFonts w:hint="eastAsia"/>
          <w:lang w:val="en-US" w:eastAsia="zh-CN"/>
        </w:rPr>
        <w:t>s</w:t>
      </w:r>
      <w:proofErr w:type="spellStart"/>
      <w:r w:rsidRPr="00714987">
        <w:rPr>
          <w:lang w:eastAsia="zh-CN"/>
        </w:rPr>
        <w:t>uch</w:t>
      </w:r>
      <w:proofErr w:type="spellEnd"/>
      <w:r w:rsidRPr="00714987">
        <w:rPr>
          <w:lang w:eastAsia="zh-CN"/>
        </w:rPr>
        <w:t xml:space="preserve"> as </w:t>
      </w:r>
      <w:proofErr w:type="spellStart"/>
      <w:r w:rsidRPr="00714987">
        <w:rPr>
          <w:lang w:eastAsia="zh-CN"/>
        </w:rPr>
        <w:t>Plumplot</w:t>
      </w:r>
      <w:proofErr w:type="spellEnd"/>
      <w:r w:rsidRPr="00714987">
        <w:rPr>
          <w:lang w:eastAsia="zh-CN"/>
        </w:rPr>
        <w:t xml:space="preserve">, </w:t>
      </w:r>
      <w:proofErr w:type="spellStart"/>
      <w:r w:rsidRPr="00714987">
        <w:rPr>
          <w:rFonts w:hint="eastAsia"/>
          <w:lang w:eastAsia="zh-CN"/>
        </w:rPr>
        <w:t>Mapbox</w:t>
      </w:r>
      <w:proofErr w:type="spellEnd"/>
      <w:r w:rsidRPr="00714987">
        <w:rPr>
          <w:rFonts w:hint="eastAsia"/>
          <w:lang w:val="en-US" w:eastAsia="zh-CN"/>
        </w:rPr>
        <w:t>,</w:t>
      </w:r>
      <w:r w:rsidRPr="00714987">
        <w:rPr>
          <w:lang w:eastAsia="zh-CN"/>
        </w:rPr>
        <w:t xml:space="preserve"> R language</w:t>
      </w:r>
      <w:r w:rsidR="00845358">
        <w:rPr>
          <w:lang w:eastAsia="zh-CN"/>
        </w:rPr>
        <w:t>,</w:t>
      </w:r>
      <w:r w:rsidRPr="00714987">
        <w:rPr>
          <w:lang w:eastAsia="zh-CN"/>
        </w:rPr>
        <w:t xml:space="preserve"> </w:t>
      </w:r>
      <w:r w:rsidRPr="00714987">
        <w:rPr>
          <w:rFonts w:hint="eastAsia"/>
          <w:lang w:val="en-US" w:eastAsia="zh-CN"/>
        </w:rPr>
        <w:t>and</w:t>
      </w:r>
      <w:r w:rsidRPr="00714987">
        <w:rPr>
          <w:lang w:eastAsia="zh-CN"/>
        </w:rPr>
        <w:t xml:space="preserve"> </w:t>
      </w:r>
      <w:r w:rsidRPr="00714987">
        <w:rPr>
          <w:rFonts w:hint="eastAsia"/>
          <w:lang w:eastAsia="zh-CN"/>
        </w:rPr>
        <w:t>Q</w:t>
      </w:r>
      <w:r w:rsidRPr="00714987">
        <w:rPr>
          <w:lang w:eastAsia="zh-CN"/>
        </w:rPr>
        <w:t>GIS</w:t>
      </w:r>
      <w:r w:rsidRPr="00714987">
        <w:rPr>
          <w:rFonts w:hint="eastAsia"/>
          <w:lang w:val="en-US" w:eastAsia="zh-CN"/>
        </w:rPr>
        <w:t xml:space="preserve"> to </w:t>
      </w:r>
      <w:r w:rsidRPr="00714987">
        <w:rPr>
          <w:rFonts w:hint="eastAsia"/>
          <w:lang w:eastAsia="zh-CN"/>
        </w:rPr>
        <w:t>form information maps in QGIS or R language</w:t>
      </w:r>
      <w:r w:rsidRPr="00714987">
        <w:rPr>
          <w:rFonts w:hint="eastAsia"/>
          <w:lang w:val="en-US" w:eastAsia="zh-CN"/>
        </w:rPr>
        <w:t xml:space="preserve"> after </w:t>
      </w:r>
      <w:r w:rsidRPr="00714987">
        <w:rPr>
          <w:rFonts w:hint="eastAsia"/>
          <w:lang w:eastAsia="zh-CN"/>
        </w:rPr>
        <w:t>clean</w:t>
      </w:r>
      <w:proofErr w:type="spellStart"/>
      <w:r w:rsidRPr="00714987">
        <w:rPr>
          <w:rFonts w:hint="eastAsia"/>
          <w:lang w:val="en-US" w:eastAsia="zh-CN"/>
        </w:rPr>
        <w:t>ing</w:t>
      </w:r>
      <w:proofErr w:type="spellEnd"/>
      <w:r w:rsidRPr="00714987">
        <w:rPr>
          <w:rFonts w:hint="eastAsia"/>
          <w:lang w:eastAsia="zh-CN"/>
        </w:rPr>
        <w:t xml:space="preserve"> the CSV data files</w:t>
      </w:r>
      <w:r w:rsidRPr="00714987">
        <w:rPr>
          <w:rFonts w:hint="eastAsia"/>
          <w:lang w:val="en-US" w:eastAsia="zh-CN"/>
        </w:rPr>
        <w:t xml:space="preserve"> with </w:t>
      </w:r>
      <w:r w:rsidRPr="00714987">
        <w:rPr>
          <w:rFonts w:hint="eastAsia"/>
          <w:lang w:eastAsia="zh-CN"/>
        </w:rPr>
        <w:t>R language</w:t>
      </w:r>
      <w:r w:rsidRPr="00714987">
        <w:rPr>
          <w:rFonts w:hint="eastAsia"/>
          <w:lang w:val="en-US" w:eastAsia="zh-CN"/>
        </w:rPr>
        <w:t xml:space="preserve">. Therefore, </w:t>
      </w:r>
      <w:r w:rsidR="00896909" w:rsidRPr="00896909">
        <w:rPr>
          <w:lang w:val="en-US" w:eastAsia="zh-CN"/>
        </w:rPr>
        <w:t>and therefore conclude whether it is compatible with SUM</w:t>
      </w:r>
      <w:r w:rsidR="00896909">
        <w:rPr>
          <w:rFonts w:hint="eastAsia"/>
          <w:lang w:val="en-US" w:eastAsia="zh-CN"/>
        </w:rPr>
        <w:t>.</w:t>
      </w:r>
    </w:p>
    <w:p w14:paraId="13A5B735" w14:textId="77777777" w:rsidR="00AA47F7" w:rsidRPr="00714987" w:rsidRDefault="00000000">
      <w:pPr>
        <w:pStyle w:val="1"/>
        <w:rPr>
          <w:szCs w:val="24"/>
        </w:rPr>
      </w:pPr>
      <w:r w:rsidRPr="00714987">
        <w:rPr>
          <w:szCs w:val="24"/>
        </w:rPr>
        <w:lastRenderedPageBreak/>
        <w:t>Analysis of Manchester and the applicability of SUM</w:t>
      </w:r>
    </w:p>
    <w:p w14:paraId="57721A42" w14:textId="794FFBA6" w:rsidR="00AA47F7" w:rsidRPr="00714987" w:rsidRDefault="00000000">
      <w:pPr>
        <w:rPr>
          <w:lang w:eastAsia="zh-CN"/>
        </w:rPr>
      </w:pPr>
      <w:r w:rsidRPr="00714987">
        <w:rPr>
          <w:lang w:eastAsia="zh-CN"/>
        </w:rPr>
        <w:t xml:space="preserve">The following three parts </w:t>
      </w:r>
      <w:r w:rsidR="00F44F5A">
        <w:rPr>
          <w:rFonts w:hint="eastAsia"/>
          <w:lang w:val="en-US" w:eastAsia="zh-CN"/>
        </w:rPr>
        <w:t>are</w:t>
      </w:r>
      <w:r w:rsidRPr="00714987">
        <w:rPr>
          <w:rFonts w:hint="eastAsia"/>
          <w:lang w:val="en-US" w:eastAsia="zh-CN"/>
        </w:rPr>
        <w:t xml:space="preserve"> utilized to explain</w:t>
      </w:r>
      <w:r w:rsidRPr="00714987">
        <w:rPr>
          <w:lang w:eastAsia="zh-CN"/>
        </w:rPr>
        <w:t xml:space="preserve"> why Manchester</w:t>
      </w:r>
      <w:r w:rsidR="00892B5B" w:rsidRPr="00714987">
        <w:rPr>
          <w:lang w:eastAsia="zh-CN"/>
        </w:rPr>
        <w:t xml:space="preserve"> </w:t>
      </w:r>
      <w:r w:rsidR="009945A3">
        <w:rPr>
          <w:lang w:eastAsia="zh-CN"/>
        </w:rPr>
        <w:t>b</w:t>
      </w:r>
      <w:r w:rsidR="00892B5B" w:rsidRPr="00714987">
        <w:rPr>
          <w:lang w:eastAsia="zh-CN"/>
        </w:rPr>
        <w:t>asically</w:t>
      </w:r>
      <w:r w:rsidRPr="00714987">
        <w:rPr>
          <w:lang w:eastAsia="zh-CN"/>
        </w:rPr>
        <w:t xml:space="preserve"> fits the Bid-rent model.</w:t>
      </w:r>
    </w:p>
    <w:p w14:paraId="4F66440C" w14:textId="458DE46B" w:rsidR="00AA47F7" w:rsidRPr="00714987" w:rsidRDefault="00000000">
      <w:pPr>
        <w:rPr>
          <w:lang w:eastAsia="zh-CN"/>
        </w:rPr>
      </w:pPr>
      <w:r w:rsidRPr="00714987">
        <w:rPr>
          <w:lang w:eastAsia="zh-CN"/>
        </w:rPr>
        <w:t xml:space="preserve">First of all, the </w:t>
      </w:r>
      <w:r w:rsidRPr="00714987">
        <w:rPr>
          <w:rFonts w:hint="eastAsia"/>
          <w:lang w:val="en-US" w:eastAsia="zh-CN"/>
        </w:rPr>
        <w:t>prominent</w:t>
      </w:r>
      <w:r w:rsidRPr="00714987">
        <w:rPr>
          <w:lang w:eastAsia="zh-CN"/>
        </w:rPr>
        <w:t xml:space="preserve"> definition of </w:t>
      </w:r>
      <w:r w:rsidR="00672EEA">
        <w:rPr>
          <w:lang w:eastAsia="zh-CN"/>
        </w:rPr>
        <w:t xml:space="preserve">The </w:t>
      </w:r>
      <w:r w:rsidRPr="00714987">
        <w:rPr>
          <w:lang w:eastAsia="zh-CN"/>
        </w:rPr>
        <w:t xml:space="preserve">Bid-rent model </w:t>
      </w:r>
      <w:proofErr w:type="gramStart"/>
      <w:r w:rsidRPr="00714987">
        <w:rPr>
          <w:lang w:eastAsia="zh-CN"/>
        </w:rPr>
        <w:t>is:</w:t>
      </w:r>
      <w:proofErr w:type="gramEnd"/>
      <w:r w:rsidRPr="00714987">
        <w:rPr>
          <w:lang w:eastAsia="zh-CN"/>
        </w:rPr>
        <w:t xml:space="preserve"> </w:t>
      </w:r>
      <w:r w:rsidRPr="00714987">
        <w:rPr>
          <w:rFonts w:hint="eastAsia"/>
          <w:lang w:val="en-US" w:eastAsia="zh-CN"/>
        </w:rPr>
        <w:t xml:space="preserve">the </w:t>
      </w:r>
      <w:r w:rsidRPr="00714987">
        <w:rPr>
          <w:lang w:eastAsia="zh-CN"/>
        </w:rPr>
        <w:t>rent</w:t>
      </w:r>
      <w:proofErr w:type="spellStart"/>
      <w:r w:rsidRPr="00714987">
        <w:rPr>
          <w:rFonts w:hint="eastAsia"/>
          <w:lang w:val="en-US" w:eastAsia="zh-CN"/>
        </w:rPr>
        <w:t>ing</w:t>
      </w:r>
      <w:proofErr w:type="spellEnd"/>
      <w:r w:rsidRPr="00714987">
        <w:rPr>
          <w:lang w:eastAsia="zh-CN"/>
        </w:rPr>
        <w:t xml:space="preserve"> price </w:t>
      </w:r>
      <w:r w:rsidRPr="00714987">
        <w:rPr>
          <w:rFonts w:hint="eastAsia"/>
          <w:lang w:val="en-US" w:eastAsia="zh-CN"/>
        </w:rPr>
        <w:t xml:space="preserve">of </w:t>
      </w:r>
      <w:r w:rsidRPr="00714987">
        <w:rPr>
          <w:lang w:eastAsia="zh-CN"/>
        </w:rPr>
        <w:t xml:space="preserve">land declines gradually from the city </w:t>
      </w:r>
      <w:proofErr w:type="spellStart"/>
      <w:r w:rsidRPr="00714987">
        <w:rPr>
          <w:lang w:eastAsia="zh-CN"/>
        </w:rPr>
        <w:t>center</w:t>
      </w:r>
      <w:proofErr w:type="spellEnd"/>
      <w:r w:rsidRPr="00714987">
        <w:rPr>
          <w:lang w:eastAsia="zh-CN"/>
        </w:rPr>
        <w:t xml:space="preserve"> to the suburbs. </w:t>
      </w:r>
      <w:r w:rsidRPr="00714987">
        <w:rPr>
          <w:rFonts w:hint="eastAsia"/>
          <w:lang w:val="en-US" w:eastAsia="zh-CN"/>
        </w:rPr>
        <w:t xml:space="preserve">Under the guidance of the </w:t>
      </w:r>
      <w:r w:rsidRPr="00714987">
        <w:rPr>
          <w:lang w:eastAsia="zh-CN"/>
        </w:rPr>
        <w:t>definition</w:t>
      </w:r>
      <w:r w:rsidRPr="00714987">
        <w:rPr>
          <w:rFonts w:hint="eastAsia"/>
          <w:lang w:val="en-US" w:eastAsia="zh-CN"/>
        </w:rPr>
        <w:t xml:space="preserve">, </w:t>
      </w:r>
      <w:r w:rsidRPr="00714987">
        <w:rPr>
          <w:rFonts w:hint="eastAsia"/>
          <w:lang w:eastAsia="zh-CN"/>
        </w:rPr>
        <w:t xml:space="preserve">we separately extracted the average </w:t>
      </w:r>
      <w:proofErr w:type="spellStart"/>
      <w:r w:rsidRPr="00714987">
        <w:rPr>
          <w:rFonts w:hint="eastAsia"/>
          <w:lang w:eastAsia="zh-CN"/>
        </w:rPr>
        <w:t>hous</w:t>
      </w:r>
      <w:r w:rsidRPr="00714987">
        <w:rPr>
          <w:rFonts w:hint="eastAsia"/>
          <w:lang w:val="en-US" w:eastAsia="zh-CN"/>
        </w:rPr>
        <w:t>ing</w:t>
      </w:r>
      <w:proofErr w:type="spellEnd"/>
      <w:r w:rsidRPr="00714987">
        <w:rPr>
          <w:rFonts w:hint="eastAsia"/>
          <w:lang w:eastAsia="zh-CN"/>
        </w:rPr>
        <w:t xml:space="preserve"> price data per square meter in Manchester</w:t>
      </w:r>
      <w:r w:rsidRPr="00714987">
        <w:rPr>
          <w:rFonts w:hint="eastAsia"/>
          <w:lang w:val="en-US" w:eastAsia="zh-CN"/>
        </w:rPr>
        <w:t xml:space="preserve"> </w:t>
      </w:r>
      <w:r w:rsidRPr="00714987">
        <w:rPr>
          <w:rFonts w:hint="eastAsia"/>
          <w:lang w:eastAsia="zh-CN"/>
        </w:rPr>
        <w:t xml:space="preserve">and the average rent per calendar month in 2014 (Figure </w:t>
      </w:r>
      <w:r w:rsidR="008C39F0" w:rsidRPr="00714987">
        <w:rPr>
          <w:lang w:eastAsia="zh-CN"/>
        </w:rPr>
        <w:t>1</w:t>
      </w:r>
      <w:r w:rsidRPr="00714987">
        <w:rPr>
          <w:rFonts w:hint="eastAsia"/>
          <w:lang w:eastAsia="zh-CN"/>
        </w:rPr>
        <w:t>) from the dat</w:t>
      </w:r>
      <w:r w:rsidR="00672EEA">
        <w:rPr>
          <w:lang w:eastAsia="zh-CN"/>
        </w:rPr>
        <w:t>e</w:t>
      </w:r>
      <w:r w:rsidRPr="00714987">
        <w:rPr>
          <w:rFonts w:hint="eastAsia"/>
          <w:lang w:eastAsia="zh-CN"/>
        </w:rPr>
        <w:t xml:space="preserve"> of the British government website and GM Real Estate Agency.</w:t>
      </w:r>
      <w:r w:rsidRPr="00714987">
        <w:rPr>
          <w:lang w:eastAsia="zh-CN"/>
        </w:rPr>
        <w:t xml:space="preserve"> </w:t>
      </w:r>
      <w:r w:rsidRPr="00714987">
        <w:rPr>
          <w:rFonts w:hint="eastAsia"/>
          <w:lang w:val="en-US" w:eastAsia="zh-CN"/>
        </w:rPr>
        <w:t>A</w:t>
      </w:r>
      <w:proofErr w:type="spellStart"/>
      <w:r w:rsidRPr="00714987">
        <w:rPr>
          <w:lang w:eastAsia="zh-CN"/>
        </w:rPr>
        <w:t>nd</w:t>
      </w:r>
      <w:proofErr w:type="spellEnd"/>
      <w:r w:rsidRPr="00714987">
        <w:rPr>
          <w:lang w:eastAsia="zh-CN"/>
        </w:rPr>
        <w:t xml:space="preserve"> </w:t>
      </w:r>
      <w:proofErr w:type="gramStart"/>
      <w:r w:rsidRPr="00714987">
        <w:rPr>
          <w:lang w:eastAsia="zh-CN"/>
        </w:rPr>
        <w:t>it can be seen that although</w:t>
      </w:r>
      <w:proofErr w:type="gramEnd"/>
      <w:r w:rsidRPr="00714987">
        <w:rPr>
          <w:rFonts w:hint="eastAsia"/>
          <w:lang w:val="en-US" w:eastAsia="zh-CN"/>
        </w:rPr>
        <w:t xml:space="preserve"> </w:t>
      </w:r>
      <w:r w:rsidRPr="00714987">
        <w:rPr>
          <w:lang w:eastAsia="zh-CN"/>
        </w:rPr>
        <w:t>the housing price</w:t>
      </w:r>
      <w:r w:rsidRPr="00714987">
        <w:rPr>
          <w:rFonts w:hint="eastAsia"/>
          <w:lang w:val="en-US" w:eastAsia="zh-CN"/>
        </w:rPr>
        <w:t>s</w:t>
      </w:r>
      <w:r w:rsidRPr="00714987">
        <w:rPr>
          <w:lang w:eastAsia="zh-CN"/>
        </w:rPr>
        <w:t xml:space="preserve"> </w:t>
      </w:r>
      <w:r w:rsidRPr="00714987">
        <w:rPr>
          <w:rFonts w:hint="eastAsia"/>
          <w:lang w:eastAsia="zh-CN"/>
        </w:rPr>
        <w:t>generally</w:t>
      </w:r>
      <w:r w:rsidRPr="00714987">
        <w:rPr>
          <w:rFonts w:hint="eastAsia"/>
          <w:lang w:val="en-US" w:eastAsia="zh-CN"/>
        </w:rPr>
        <w:t xml:space="preserve"> </w:t>
      </w:r>
      <w:r w:rsidRPr="00714987">
        <w:rPr>
          <w:lang w:eastAsia="zh-CN"/>
        </w:rPr>
        <w:t xml:space="preserve">present a negative correlation as the distance from the city </w:t>
      </w:r>
      <w:proofErr w:type="spellStart"/>
      <w:r w:rsidRPr="00714987">
        <w:rPr>
          <w:lang w:eastAsia="zh-CN"/>
        </w:rPr>
        <w:t>center</w:t>
      </w:r>
      <w:proofErr w:type="spellEnd"/>
      <w:r w:rsidRPr="00714987">
        <w:rPr>
          <w:lang w:eastAsia="zh-CN"/>
        </w:rPr>
        <w:t xml:space="preserve"> gets longer and longer</w:t>
      </w:r>
      <w:r w:rsidRPr="00714987">
        <w:rPr>
          <w:rFonts w:hint="eastAsia"/>
          <w:lang w:eastAsia="zh-CN"/>
        </w:rPr>
        <w:t>,</w:t>
      </w:r>
      <w:r w:rsidRPr="00714987">
        <w:rPr>
          <w:lang w:eastAsia="zh-CN"/>
        </w:rPr>
        <w:t xml:space="preserve"> the trend is not obvious.</w:t>
      </w:r>
      <w:r w:rsidRPr="00714987">
        <w:t xml:space="preserve"> </w:t>
      </w:r>
      <w:r w:rsidRPr="00714987">
        <w:rPr>
          <w:rFonts w:hint="eastAsia"/>
          <w:lang w:val="en-US" w:eastAsia="zh-CN"/>
        </w:rPr>
        <w:t xml:space="preserve">As </w:t>
      </w:r>
      <w:r w:rsidRPr="00714987">
        <w:rPr>
          <w:lang w:eastAsia="zh-CN"/>
        </w:rPr>
        <w:t>housing prices are less sensitive to distance than retail businesses and industry</w:t>
      </w:r>
      <w:r w:rsidRPr="00714987">
        <w:rPr>
          <w:lang w:eastAsia="zh-CN"/>
        </w:rPr>
        <w:fldChar w:fldCharType="begin"/>
      </w:r>
      <w:r w:rsidRPr="00714987">
        <w:rPr>
          <w:lang w:eastAsia="zh-CN"/>
        </w:rPr>
        <w:instrText xml:space="preserve"> ADDIN ZOTERO_ITEM CSL_CITATION {"citationID":"CuMryFjA","properties":{"formattedCitation":"(Ahlfeldt, 2011)","plainCitation":"(Ahlfeldt, 2011)","noteIndex":0},"citationItems":[{"id":268,"uris":["http://zotero.org/users/10182289/items/B569BVVB"],"itemData":{"id":268,"type":"article-journal","abstract":"This study provides an empirical evaluation of employment accessibility as a determinant of urban land price. We find that the monocentric model, despite recent criticism, can perform satisfyingly if the hedonic value of land is identified in an account of structural and neighborhood characteristics. Gravity employment accessibility measures, however, can explain the residential land gradient entirely and disentangle positive accessibility effects from negative congestion effects related to transport infrastructure. They can therefore be recommended as an appropriate mean to account for labor market accessibility in an environment of dispersed employment, at least if the transport geography is accounted for.","container-title":"Journal of Regional Science","DOI":"10.1111/j.1467-9787.2010.00694.x","ISSN":"00224146","issue":"2","language":"en","page":"318-338","source":"DOI.org (Crossref)","title":"IF ALONSO WAS RIGHT: MODELING ACCESSIBILITY AND EXPLAINING THE RESIDENTIAL LAND GRADIENT","title-short":"IF ALONSO WAS RIGHT","volume":"51","author":[{"family":"Ahlfeldt","given":"Gabriel"}],"issued":{"date-parts":[["2011",5]]}}}],"schema":"https://github.com/citation-style-language/schema/raw/master/csl-citation.json"} </w:instrText>
      </w:r>
      <w:r w:rsidRPr="00714987">
        <w:rPr>
          <w:lang w:eastAsia="zh-CN"/>
        </w:rPr>
        <w:fldChar w:fldCharType="separate"/>
      </w:r>
      <w:r w:rsidRPr="00714987">
        <w:rPr>
          <w:lang w:eastAsia="zh-CN"/>
        </w:rPr>
        <w:t>(Ahlfeldt, 2011)</w:t>
      </w:r>
      <w:r w:rsidRPr="00714987">
        <w:rPr>
          <w:lang w:eastAsia="zh-CN"/>
        </w:rPr>
        <w:fldChar w:fldCharType="end"/>
      </w:r>
      <w:r w:rsidRPr="00714987">
        <w:rPr>
          <w:lang w:eastAsia="zh-CN"/>
        </w:rPr>
        <w:t xml:space="preserve">, </w:t>
      </w:r>
      <w:r w:rsidR="00892B5B" w:rsidRPr="00714987">
        <w:rPr>
          <w:lang w:eastAsia="zh-CN"/>
        </w:rPr>
        <w:t xml:space="preserve">or the influence of other factors, </w:t>
      </w:r>
      <w:r w:rsidRPr="00714987">
        <w:rPr>
          <w:rFonts w:hint="eastAsia"/>
          <w:lang w:val="en-US" w:eastAsia="zh-CN"/>
        </w:rPr>
        <w:t>the</w:t>
      </w:r>
      <w:r w:rsidRPr="00714987">
        <w:rPr>
          <w:lang w:eastAsia="zh-CN"/>
        </w:rPr>
        <w:t xml:space="preserve"> ren</w:t>
      </w:r>
      <w:r w:rsidRPr="00714987">
        <w:rPr>
          <w:rFonts w:hint="eastAsia"/>
          <w:lang w:val="en-US" w:eastAsia="zh-CN"/>
        </w:rPr>
        <w:t>ting</w:t>
      </w:r>
      <w:r w:rsidRPr="00714987">
        <w:rPr>
          <w:lang w:eastAsia="zh-CN"/>
        </w:rPr>
        <w:t xml:space="preserve"> prices </w:t>
      </w:r>
      <w:r w:rsidRPr="00714987">
        <w:rPr>
          <w:rFonts w:hint="eastAsia"/>
          <w:lang w:val="en-US" w:eastAsia="zh-CN"/>
        </w:rPr>
        <w:t xml:space="preserve">of </w:t>
      </w:r>
      <w:r w:rsidRPr="00714987">
        <w:rPr>
          <w:lang w:eastAsia="zh-CN"/>
        </w:rPr>
        <w:t>land</w:t>
      </w:r>
      <w:r w:rsidRPr="00714987">
        <w:rPr>
          <w:rFonts w:hint="eastAsia"/>
          <w:lang w:val="en-US" w:eastAsia="zh-CN"/>
        </w:rPr>
        <w:t xml:space="preserve"> in </w:t>
      </w:r>
      <w:r w:rsidRPr="00714987">
        <w:rPr>
          <w:lang w:eastAsia="zh-CN"/>
        </w:rPr>
        <w:t>some south</w:t>
      </w:r>
      <w:r w:rsidRPr="00714987">
        <w:rPr>
          <w:rFonts w:hint="eastAsia"/>
          <w:lang w:val="en-US" w:eastAsia="zh-CN"/>
        </w:rPr>
        <w:t xml:space="preserve">ern </w:t>
      </w:r>
      <w:r w:rsidRPr="00714987">
        <w:rPr>
          <w:lang w:eastAsia="zh-CN"/>
        </w:rPr>
        <w:t xml:space="preserve">areas of the city </w:t>
      </w:r>
      <w:r w:rsidRPr="00714987">
        <w:rPr>
          <w:rFonts w:hint="eastAsia"/>
          <w:lang w:eastAsia="zh-CN"/>
        </w:rPr>
        <w:t>are higher than those in other areas.</w:t>
      </w:r>
      <w:r w:rsidRPr="00714987">
        <w:rPr>
          <w:lang w:eastAsia="zh-CN"/>
        </w:rPr>
        <w:t xml:space="preserve"> </w:t>
      </w:r>
      <w:r w:rsidRPr="00714987">
        <w:rPr>
          <w:rFonts w:hint="eastAsia"/>
          <w:lang w:eastAsia="zh-CN"/>
        </w:rPr>
        <w:t>It partially violates</w:t>
      </w:r>
      <w:r w:rsidRPr="00714987">
        <w:rPr>
          <w:lang w:eastAsia="zh-CN"/>
        </w:rPr>
        <w:t xml:space="preserve"> the B</w:t>
      </w:r>
      <w:r w:rsidRPr="00714987">
        <w:rPr>
          <w:rFonts w:hint="eastAsia"/>
          <w:lang w:eastAsia="zh-CN"/>
        </w:rPr>
        <w:t>id</w:t>
      </w:r>
      <w:r w:rsidRPr="00714987">
        <w:rPr>
          <w:lang w:eastAsia="zh-CN"/>
        </w:rPr>
        <w:t>-</w:t>
      </w:r>
      <w:r w:rsidRPr="00714987">
        <w:rPr>
          <w:rFonts w:hint="eastAsia"/>
          <w:lang w:eastAsia="zh-CN"/>
        </w:rPr>
        <w:t>rent</w:t>
      </w:r>
      <w:r w:rsidRPr="00714987">
        <w:rPr>
          <w:lang w:eastAsia="zh-CN"/>
        </w:rPr>
        <w:t xml:space="preserve"> model which I will discuss in the section</w:t>
      </w:r>
      <w:r w:rsidRPr="00714987">
        <w:rPr>
          <w:rFonts w:hint="eastAsia"/>
          <w:lang w:val="en-US" w:eastAsia="zh-CN"/>
        </w:rPr>
        <w:t xml:space="preserve"> about its </w:t>
      </w:r>
      <w:r w:rsidRPr="00714987">
        <w:rPr>
          <w:lang w:eastAsia="zh-CN"/>
        </w:rPr>
        <w:t xml:space="preserve">limitations. </w:t>
      </w:r>
    </w:p>
    <w:tbl>
      <w:tblPr>
        <w:tblStyle w:val="af9"/>
        <w:tblW w:w="88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600"/>
      </w:tblGrid>
      <w:tr w:rsidR="00714987" w:rsidRPr="00714987" w14:paraId="364A8C48" w14:textId="77777777" w:rsidTr="009B2CBD">
        <w:trPr>
          <w:trHeight w:val="3342"/>
          <w:jc w:val="center"/>
        </w:trPr>
        <w:tc>
          <w:tcPr>
            <w:tcW w:w="4296" w:type="dxa"/>
          </w:tcPr>
          <w:p w14:paraId="084194F6" w14:textId="4E3EA390" w:rsidR="00B83FEE" w:rsidRPr="00714987" w:rsidRDefault="00B83FEE" w:rsidP="00B83FEE">
            <w:pPr>
              <w:keepNext/>
              <w:spacing w:line="60" w:lineRule="auto"/>
              <w:rPr>
                <w:lang w:eastAsia="zh-CN"/>
              </w:rPr>
            </w:pPr>
            <w:r w:rsidRPr="00B83FEE">
              <w:rPr>
                <w:rFonts w:asciiTheme="majorHAnsi" w:eastAsia="黑体" w:hAnsiTheme="majorHAnsi" w:cstheme="majorBidi"/>
                <w:i/>
                <w:iCs/>
                <w:noProof/>
                <w:sz w:val="20"/>
                <w:szCs w:val="20"/>
                <w:lang w:eastAsia="zh-CN"/>
              </w:rPr>
              <w:drawing>
                <wp:anchor distT="0" distB="0" distL="114300" distR="114300" simplePos="0" relativeHeight="251658240" behindDoc="0" locked="0" layoutInCell="1" allowOverlap="1" wp14:anchorId="334491CB" wp14:editId="67E37BDE">
                  <wp:simplePos x="0" y="0"/>
                  <wp:positionH relativeFrom="column">
                    <wp:posOffset>59055</wp:posOffset>
                  </wp:positionH>
                  <wp:positionV relativeFrom="paragraph">
                    <wp:posOffset>34290</wp:posOffset>
                  </wp:positionV>
                  <wp:extent cx="2619375" cy="1918335"/>
                  <wp:effectExtent l="19050" t="19050" r="28575" b="2476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t="5955"/>
                          <a:stretch>
                            <a:fillRect/>
                          </a:stretch>
                        </pic:blipFill>
                        <pic:spPr>
                          <a:xfrm>
                            <a:off x="0" y="0"/>
                            <a:ext cx="2619375" cy="1918335"/>
                          </a:xfrm>
                          <a:prstGeom prst="rect">
                            <a:avLst/>
                          </a:prstGeom>
                          <a:ln w="9525" cap="flat" cmpd="sng" algn="ctr">
                            <a:solidFill>
                              <a:sysClr val="windowText" lastClr="000000"/>
                            </a:solid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rsidRPr="00B83FEE">
              <w:rPr>
                <w:rFonts w:asciiTheme="majorHAnsi" w:eastAsia="黑体" w:hAnsiTheme="majorHAnsi" w:cstheme="majorBidi" w:hint="eastAsia"/>
                <w:i/>
                <w:iCs/>
                <w:sz w:val="20"/>
                <w:szCs w:val="20"/>
                <w:lang w:eastAsia="zh-CN"/>
              </w:rPr>
              <w:t>(</w:t>
            </w:r>
            <w:r w:rsidRPr="00B83FEE">
              <w:rPr>
                <w:rFonts w:asciiTheme="majorHAnsi" w:eastAsia="黑体" w:hAnsiTheme="majorHAnsi" w:cstheme="majorBidi"/>
                <w:i/>
                <w:iCs/>
                <w:sz w:val="20"/>
                <w:szCs w:val="20"/>
                <w:lang w:eastAsia="zh-CN"/>
              </w:rPr>
              <w:t>a)</w:t>
            </w:r>
          </w:p>
        </w:tc>
        <w:tc>
          <w:tcPr>
            <w:tcW w:w="4566" w:type="dxa"/>
          </w:tcPr>
          <w:p w14:paraId="721BF9C9" w14:textId="1B8E2410" w:rsidR="00B83FEE" w:rsidRPr="00B83FEE" w:rsidRDefault="00000000" w:rsidP="00B83FEE">
            <w:pPr>
              <w:keepNext/>
              <w:spacing w:line="60" w:lineRule="auto"/>
              <w:rPr>
                <w:lang w:eastAsia="zh-CN"/>
              </w:rPr>
            </w:pPr>
            <w:r w:rsidRPr="00B83FEE">
              <w:rPr>
                <w:rFonts w:asciiTheme="majorHAnsi" w:eastAsia="黑体" w:hAnsiTheme="majorHAnsi" w:cstheme="majorBidi"/>
                <w:i/>
                <w:iCs/>
                <w:noProof/>
                <w:sz w:val="20"/>
                <w:szCs w:val="20"/>
                <w:lang w:eastAsia="zh-CN"/>
              </w:rPr>
              <w:drawing>
                <wp:anchor distT="0" distB="0" distL="114300" distR="114300" simplePos="0" relativeHeight="251659264" behindDoc="0" locked="0" layoutInCell="1" allowOverlap="1" wp14:anchorId="7230765D" wp14:editId="2B3E9B34">
                  <wp:simplePos x="0" y="0"/>
                  <wp:positionH relativeFrom="column">
                    <wp:posOffset>-16510</wp:posOffset>
                  </wp:positionH>
                  <wp:positionV relativeFrom="paragraph">
                    <wp:posOffset>29845</wp:posOffset>
                  </wp:positionV>
                  <wp:extent cx="2783840" cy="1936750"/>
                  <wp:effectExtent l="0" t="0" r="0"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3840" cy="1936750"/>
                          </a:xfrm>
                          <a:prstGeom prst="rect">
                            <a:avLst/>
                          </a:prstGeom>
                        </pic:spPr>
                      </pic:pic>
                    </a:graphicData>
                  </a:graphic>
                  <wp14:sizeRelH relativeFrom="margin">
                    <wp14:pctWidth>0</wp14:pctWidth>
                  </wp14:sizeRelH>
                  <wp14:sizeRelV relativeFrom="margin">
                    <wp14:pctHeight>0</wp14:pctHeight>
                  </wp14:sizeRelV>
                </wp:anchor>
              </w:drawing>
            </w:r>
            <w:r w:rsidR="00B83FEE" w:rsidRPr="00B83FEE">
              <w:rPr>
                <w:rFonts w:asciiTheme="majorHAnsi" w:eastAsia="黑体" w:hAnsiTheme="majorHAnsi" w:cstheme="majorBidi" w:hint="eastAsia"/>
                <w:i/>
                <w:iCs/>
                <w:sz w:val="20"/>
                <w:szCs w:val="20"/>
                <w:lang w:eastAsia="zh-CN"/>
              </w:rPr>
              <w:t>(</w:t>
            </w:r>
            <w:r w:rsidR="00B83FEE" w:rsidRPr="00B83FEE">
              <w:rPr>
                <w:rFonts w:asciiTheme="majorHAnsi" w:eastAsia="黑体" w:hAnsiTheme="majorHAnsi" w:cstheme="majorBidi"/>
                <w:i/>
                <w:iCs/>
                <w:sz w:val="20"/>
                <w:szCs w:val="20"/>
                <w:lang w:eastAsia="zh-CN"/>
              </w:rPr>
              <w:t>b)</w:t>
            </w:r>
          </w:p>
        </w:tc>
      </w:tr>
      <w:tr w:rsidR="00B83FEE" w:rsidRPr="00714987" w14:paraId="2934477E" w14:textId="77777777" w:rsidTr="009B2CBD">
        <w:trPr>
          <w:trHeight w:val="50"/>
          <w:jc w:val="center"/>
        </w:trPr>
        <w:tc>
          <w:tcPr>
            <w:tcW w:w="8862" w:type="dxa"/>
            <w:gridSpan w:val="2"/>
          </w:tcPr>
          <w:p w14:paraId="45D5769D" w14:textId="1AB46517" w:rsidR="00B83FEE" w:rsidRPr="00714987" w:rsidRDefault="00B81016" w:rsidP="00B83FEE">
            <w:pPr>
              <w:keepNext/>
              <w:spacing w:line="240" w:lineRule="auto"/>
              <w:rPr>
                <w:noProof/>
              </w:rPr>
            </w:pPr>
            <w:r>
              <w:rPr>
                <w:rFonts w:asciiTheme="majorHAnsi" w:eastAsia="黑体" w:hAnsiTheme="majorHAnsi" w:cstheme="majorBidi"/>
                <w:i/>
                <w:iCs/>
                <w:sz w:val="20"/>
                <w:szCs w:val="20"/>
                <w:lang w:eastAsia="zh-CN"/>
              </w:rPr>
              <w:t>Figure</w:t>
            </w:r>
            <w:proofErr w:type="gramStart"/>
            <w:r>
              <w:rPr>
                <w:rFonts w:asciiTheme="majorHAnsi" w:eastAsia="黑体" w:hAnsiTheme="majorHAnsi" w:cstheme="majorBidi"/>
                <w:i/>
                <w:iCs/>
                <w:sz w:val="20"/>
                <w:szCs w:val="20"/>
                <w:lang w:eastAsia="zh-CN"/>
              </w:rPr>
              <w:t>1:</w:t>
            </w:r>
            <w:r w:rsidR="00B83FEE" w:rsidRPr="00B83FEE">
              <w:rPr>
                <w:rFonts w:asciiTheme="majorHAnsi" w:eastAsia="黑体" w:hAnsiTheme="majorHAnsi" w:cstheme="majorBidi"/>
                <w:i/>
                <w:iCs/>
                <w:sz w:val="20"/>
                <w:szCs w:val="20"/>
                <w:lang w:eastAsia="zh-CN"/>
              </w:rPr>
              <w:t>Two</w:t>
            </w:r>
            <w:proofErr w:type="gramEnd"/>
            <w:r w:rsidR="00B83FEE" w:rsidRPr="00B83FEE">
              <w:rPr>
                <w:rFonts w:asciiTheme="majorHAnsi" w:eastAsia="黑体" w:hAnsiTheme="majorHAnsi" w:cstheme="majorBidi"/>
                <w:i/>
                <w:iCs/>
                <w:sz w:val="20"/>
                <w:szCs w:val="20"/>
                <w:lang w:eastAsia="zh-CN"/>
              </w:rPr>
              <w:t xml:space="preserve"> average rent </w:t>
            </w:r>
            <w:r w:rsidR="00B83FEE">
              <w:rPr>
                <w:rFonts w:asciiTheme="majorHAnsi" w:eastAsia="黑体" w:hAnsiTheme="majorHAnsi" w:cstheme="majorBidi"/>
                <w:i/>
                <w:iCs/>
                <w:sz w:val="20"/>
                <w:szCs w:val="20"/>
                <w:lang w:eastAsia="zh-CN"/>
              </w:rPr>
              <w:t>maps</w:t>
            </w:r>
            <w:r w:rsidR="00B83FEE" w:rsidRPr="00B83FEE">
              <w:rPr>
                <w:rFonts w:asciiTheme="majorHAnsi" w:eastAsia="黑体" w:hAnsiTheme="majorHAnsi" w:cstheme="majorBidi"/>
                <w:i/>
                <w:iCs/>
                <w:sz w:val="20"/>
                <w:szCs w:val="20"/>
                <w:lang w:eastAsia="zh-CN"/>
              </w:rPr>
              <w:t xml:space="preserve"> for Manchester</w:t>
            </w:r>
            <w:r w:rsidR="00B83FEE">
              <w:rPr>
                <w:rFonts w:asciiTheme="majorHAnsi" w:eastAsia="黑体" w:hAnsiTheme="majorHAnsi" w:cstheme="majorBidi"/>
                <w:i/>
                <w:iCs/>
                <w:sz w:val="20"/>
                <w:szCs w:val="20"/>
                <w:lang w:eastAsia="zh-CN"/>
              </w:rPr>
              <w:t>.</w:t>
            </w:r>
            <w:r w:rsidR="009B2CBD">
              <w:rPr>
                <w:rFonts w:asciiTheme="majorHAnsi" w:eastAsia="黑体" w:hAnsiTheme="majorHAnsi" w:cstheme="majorBidi"/>
                <w:i/>
                <w:iCs/>
                <w:sz w:val="20"/>
                <w:szCs w:val="20"/>
                <w:lang w:eastAsia="zh-CN"/>
              </w:rPr>
              <w:t xml:space="preserve"> </w:t>
            </w:r>
            <w:r w:rsidR="00B83FEE">
              <w:rPr>
                <w:rFonts w:asciiTheme="majorHAnsi" w:eastAsia="黑体" w:hAnsiTheme="majorHAnsi" w:cstheme="majorBidi"/>
                <w:i/>
                <w:iCs/>
                <w:sz w:val="20"/>
                <w:szCs w:val="20"/>
                <w:lang w:eastAsia="zh-CN"/>
              </w:rPr>
              <w:t>(a)</w:t>
            </w:r>
            <w:r w:rsidR="00B83FEE">
              <w:t xml:space="preserve"> </w:t>
            </w:r>
            <w:r w:rsidR="00B83FEE">
              <w:rPr>
                <w:rFonts w:asciiTheme="majorHAnsi" w:eastAsia="黑体" w:hAnsiTheme="majorHAnsi" w:cstheme="majorBidi"/>
                <w:i/>
                <w:iCs/>
                <w:sz w:val="20"/>
                <w:szCs w:val="20"/>
                <w:lang w:eastAsia="zh-CN"/>
              </w:rPr>
              <w:t>H</w:t>
            </w:r>
            <w:r w:rsidR="00B83FEE" w:rsidRPr="00B83FEE">
              <w:rPr>
                <w:rFonts w:asciiTheme="majorHAnsi" w:eastAsia="黑体" w:hAnsiTheme="majorHAnsi" w:cstheme="majorBidi"/>
                <w:i/>
                <w:iCs/>
                <w:sz w:val="20"/>
                <w:szCs w:val="20"/>
                <w:lang w:eastAsia="zh-CN"/>
              </w:rPr>
              <w:t>ouse price per square metre map</w:t>
            </w:r>
            <w:r w:rsidR="00B83FEE" w:rsidRPr="00B83FEE">
              <w:rPr>
                <w:rFonts w:asciiTheme="majorHAnsi" w:eastAsia="黑体" w:hAnsiTheme="majorHAnsi" w:cstheme="majorBidi"/>
                <w:i/>
                <w:iCs/>
                <w:sz w:val="20"/>
                <w:szCs w:val="20"/>
                <w:lang w:eastAsia="zh-CN"/>
              </w:rPr>
              <w:cr/>
            </w:r>
            <w:r w:rsidR="00B83FEE">
              <w:rPr>
                <w:rFonts w:asciiTheme="majorHAnsi" w:eastAsia="黑体" w:hAnsiTheme="majorHAnsi" w:cstheme="majorBidi"/>
                <w:i/>
                <w:iCs/>
                <w:sz w:val="20"/>
                <w:szCs w:val="20"/>
                <w:lang w:eastAsia="zh-CN"/>
              </w:rPr>
              <w:t>,</w:t>
            </w:r>
            <w:r w:rsidR="00B83FEE">
              <w:t xml:space="preserve"> </w:t>
            </w:r>
            <w:r w:rsidR="00B83FEE" w:rsidRPr="00B83FEE">
              <w:rPr>
                <w:rFonts w:asciiTheme="majorHAnsi" w:eastAsia="黑体" w:hAnsiTheme="majorHAnsi" w:cstheme="majorBidi"/>
                <w:i/>
                <w:iCs/>
                <w:sz w:val="20"/>
                <w:szCs w:val="20"/>
                <w:lang w:eastAsia="zh-CN"/>
              </w:rPr>
              <w:t>Data Source: UK government website</w:t>
            </w:r>
            <w:r w:rsidR="00B83FEE">
              <w:rPr>
                <w:rFonts w:asciiTheme="majorHAnsi" w:eastAsia="黑体" w:hAnsiTheme="majorHAnsi" w:cstheme="majorBidi"/>
                <w:i/>
                <w:iCs/>
                <w:sz w:val="20"/>
                <w:szCs w:val="20"/>
                <w:lang w:eastAsia="zh-CN"/>
              </w:rPr>
              <w:t>.(b)</w:t>
            </w:r>
            <w:r w:rsidR="00B83FEE">
              <w:t xml:space="preserve"> </w:t>
            </w:r>
            <w:r w:rsidR="00B83FEE" w:rsidRPr="00B83FEE">
              <w:rPr>
                <w:rFonts w:asciiTheme="majorHAnsi" w:eastAsia="黑体" w:hAnsiTheme="majorHAnsi" w:cstheme="majorBidi"/>
                <w:i/>
                <w:iCs/>
                <w:sz w:val="20"/>
                <w:szCs w:val="20"/>
                <w:lang w:eastAsia="zh-CN"/>
              </w:rPr>
              <w:t>Average rent per calendar month 2014 map</w:t>
            </w:r>
            <w:r w:rsidR="00B83FEE" w:rsidRPr="00B83FEE">
              <w:rPr>
                <w:rFonts w:asciiTheme="majorHAnsi" w:eastAsia="黑体" w:hAnsiTheme="majorHAnsi" w:cstheme="majorBidi"/>
                <w:i/>
                <w:iCs/>
                <w:sz w:val="20"/>
                <w:szCs w:val="20"/>
                <w:lang w:eastAsia="zh-CN"/>
              </w:rPr>
              <w:cr/>
            </w:r>
            <w:r w:rsidR="00B83FEE">
              <w:rPr>
                <w:rFonts w:asciiTheme="majorHAnsi" w:eastAsia="黑体" w:hAnsiTheme="majorHAnsi" w:cstheme="majorBidi"/>
                <w:i/>
                <w:iCs/>
                <w:sz w:val="20"/>
                <w:szCs w:val="20"/>
                <w:lang w:eastAsia="zh-CN"/>
              </w:rPr>
              <w:t>,</w:t>
            </w:r>
            <w:r w:rsidR="00B83FEE">
              <w:t xml:space="preserve"> </w:t>
            </w:r>
            <w:r w:rsidR="00B83FEE" w:rsidRPr="00B83FEE">
              <w:rPr>
                <w:rFonts w:asciiTheme="majorHAnsi" w:eastAsia="黑体" w:hAnsiTheme="majorHAnsi" w:cstheme="majorBidi"/>
                <w:i/>
                <w:iCs/>
                <w:sz w:val="20"/>
                <w:szCs w:val="20"/>
                <w:lang w:eastAsia="zh-CN"/>
              </w:rPr>
              <w:t>Data Source: GM Estate Agents</w:t>
            </w:r>
          </w:p>
        </w:tc>
      </w:tr>
    </w:tbl>
    <w:p w14:paraId="10330A17" w14:textId="7D87AAA9" w:rsidR="00AA47F7" w:rsidRPr="00714987" w:rsidRDefault="00000000">
      <w:pPr>
        <w:rPr>
          <w:lang w:eastAsia="zh-CN"/>
        </w:rPr>
      </w:pPr>
      <w:bookmarkStart w:id="0" w:name="_Hlk118334212"/>
      <w:r w:rsidRPr="00714987">
        <w:rPr>
          <w:lang w:eastAsia="zh-CN"/>
        </w:rPr>
        <w:t>Secondly, the land use structure of the Bid-rent model show</w:t>
      </w:r>
      <w:r w:rsidRPr="00714987">
        <w:rPr>
          <w:rFonts w:hint="eastAsia"/>
          <w:lang w:val="en-US" w:eastAsia="zh-CN"/>
        </w:rPr>
        <w:t>s</w:t>
      </w:r>
      <w:r w:rsidRPr="00714987">
        <w:rPr>
          <w:lang w:eastAsia="zh-CN"/>
        </w:rPr>
        <w:t xml:space="preserve"> that</w:t>
      </w:r>
      <w:r w:rsidRPr="00714987">
        <w:rPr>
          <w:rFonts w:hint="eastAsia"/>
          <w:lang w:eastAsia="zh-CN"/>
        </w:rPr>
        <w:t xml:space="preserve"> downtown is occupied by retail enterprises</w:t>
      </w:r>
      <w:r w:rsidRPr="00714987">
        <w:rPr>
          <w:lang w:eastAsia="zh-CN"/>
        </w:rPr>
        <w:t>, the second ring</w:t>
      </w:r>
      <w:r w:rsidRPr="00714987">
        <w:rPr>
          <w:rFonts w:hint="eastAsia"/>
          <w:lang w:val="en-US" w:eastAsia="zh-CN"/>
        </w:rPr>
        <w:t xml:space="preserve"> by </w:t>
      </w:r>
      <w:proofErr w:type="spellStart"/>
      <w:r w:rsidRPr="00714987">
        <w:rPr>
          <w:lang w:eastAsia="zh-CN"/>
        </w:rPr>
        <w:t>industr</w:t>
      </w:r>
      <w:r w:rsidRPr="00714987">
        <w:rPr>
          <w:rFonts w:hint="eastAsia"/>
          <w:lang w:val="en-US" w:eastAsia="zh-CN"/>
        </w:rPr>
        <w:t>ies</w:t>
      </w:r>
      <w:proofErr w:type="spellEnd"/>
      <w:r w:rsidRPr="00714987">
        <w:rPr>
          <w:lang w:eastAsia="zh-CN"/>
        </w:rPr>
        <w:t>, and the third and fourth ring</w:t>
      </w:r>
      <w:r w:rsidRPr="00714987">
        <w:rPr>
          <w:rFonts w:hint="eastAsia"/>
          <w:lang w:val="en-US" w:eastAsia="zh-CN"/>
        </w:rPr>
        <w:t xml:space="preserve"> by</w:t>
      </w:r>
      <w:r w:rsidRPr="00714987">
        <w:rPr>
          <w:lang w:eastAsia="zh-CN"/>
        </w:rPr>
        <w:t xml:space="preserve"> </w:t>
      </w:r>
      <w:r w:rsidRPr="00714987">
        <w:rPr>
          <w:rFonts w:hint="eastAsia"/>
          <w:lang w:eastAsia="zh-CN"/>
        </w:rPr>
        <w:t>housing</w:t>
      </w:r>
      <w:r w:rsidRPr="00714987">
        <w:rPr>
          <w:lang w:eastAsia="zh-CN"/>
        </w:rPr>
        <w:t xml:space="preserve"> and agriculture</w:t>
      </w:r>
      <w:r w:rsidRPr="00714987">
        <w:rPr>
          <w:rFonts w:hint="eastAsia"/>
          <w:lang w:val="en-US" w:eastAsia="zh-CN"/>
        </w:rPr>
        <w:t xml:space="preserve"> </w:t>
      </w:r>
      <w:r w:rsidRPr="00714987">
        <w:rPr>
          <w:lang w:eastAsia="zh-CN"/>
        </w:rPr>
        <w:t xml:space="preserve">respectively </w:t>
      </w:r>
      <w:r w:rsidRPr="00714987">
        <w:rPr>
          <w:lang w:eastAsia="zh-CN"/>
        </w:rPr>
        <w:fldChar w:fldCharType="begin"/>
      </w:r>
      <w:r w:rsidRPr="00714987">
        <w:rPr>
          <w:lang w:eastAsia="zh-CN"/>
        </w:rPr>
        <w:instrText xml:space="preserve"> ADDIN ZOTERO_ITEM CSL_CITATION {"citationID":"ZSLIjY0w","properties":{"formattedCitation":"(Alonso, 1964)","plainCitation":"(Alonso, 1964)","noteIndex":0},"citationItems":[{"id":235,"uris":["http://zotero.org/users/10182289/items/84HL2STZ"],"itemData":{"id":235,"type":"book","abstract":"Location and Land Use by William Alonso was published on October 1, 2013 by Harvard University Press.","ISBN":"978-0-674-73085-4","language":"en","note":"DOI: 10.4159/harvard.9780674730854\ncontainer-title: Location and Land Use","publisher":"Harvard University Press","source":"www.degruyter.com","title":"Location and Land Use: Toward a General Theory of Land Rent","title-short":"Location and Land Use","URL":"https://www.degruyter.com/document/doi/10.4159/harvard.9780674730854/html","author":[{"family":"Alonso","given":"William"}],"accessed":{"date-parts":[["2022",11,2]]},"issued":{"date-parts":[["1964"]]}}}],"schema":"https://github.com/citation-style-language/schema/raw/master/csl-citation.json"} </w:instrText>
      </w:r>
      <w:r w:rsidRPr="00714987">
        <w:rPr>
          <w:lang w:eastAsia="zh-CN"/>
        </w:rPr>
        <w:fldChar w:fldCharType="separate"/>
      </w:r>
      <w:r w:rsidRPr="00714987">
        <w:rPr>
          <w:lang w:eastAsia="zh-CN"/>
        </w:rPr>
        <w:t>(Alonso, 1964)</w:t>
      </w:r>
      <w:r w:rsidRPr="00714987">
        <w:rPr>
          <w:lang w:eastAsia="zh-CN"/>
        </w:rPr>
        <w:fldChar w:fldCharType="end"/>
      </w:r>
      <w:r w:rsidRPr="00714987">
        <w:rPr>
          <w:rFonts w:hint="eastAsia"/>
          <w:lang w:eastAsia="zh-CN"/>
        </w:rPr>
        <w:t>.</w:t>
      </w:r>
      <w:r w:rsidRPr="00714987">
        <w:rPr>
          <w:lang w:eastAsia="zh-CN"/>
        </w:rPr>
        <w:t xml:space="preserve"> Analysis of data on land use from the data source CDRC shows that retail businesses </w:t>
      </w:r>
      <w:r w:rsidRPr="00714987">
        <w:rPr>
          <w:rFonts w:hint="eastAsia"/>
          <w:lang w:val="en-US" w:eastAsia="zh-CN"/>
        </w:rPr>
        <w:t xml:space="preserve">in </w:t>
      </w:r>
      <w:r w:rsidRPr="00714987">
        <w:rPr>
          <w:lang w:eastAsia="zh-CN"/>
        </w:rPr>
        <w:t>Manchester</w:t>
      </w:r>
      <w:r w:rsidRPr="00714987">
        <w:rPr>
          <w:rFonts w:hint="eastAsia"/>
          <w:lang w:val="en-US" w:eastAsia="zh-CN"/>
        </w:rPr>
        <w:t xml:space="preserve"> lie in</w:t>
      </w:r>
      <w:r w:rsidRPr="00714987">
        <w:rPr>
          <w:lang w:eastAsia="zh-CN"/>
        </w:rPr>
        <w:t xml:space="preserve"> </w:t>
      </w:r>
      <w:r w:rsidRPr="00714987">
        <w:rPr>
          <w:rFonts w:hint="eastAsia"/>
          <w:lang w:eastAsia="zh-CN"/>
        </w:rPr>
        <w:t>downtown</w:t>
      </w:r>
      <w:r w:rsidRPr="00714987">
        <w:rPr>
          <w:lang w:eastAsia="zh-CN"/>
        </w:rPr>
        <w:t>, while industrial</w:t>
      </w:r>
      <w:r w:rsidRPr="00714987">
        <w:rPr>
          <w:rFonts w:hint="eastAsia"/>
          <w:lang w:val="en-US" w:eastAsia="zh-CN"/>
        </w:rPr>
        <w:t xml:space="preserve"> </w:t>
      </w:r>
      <w:r w:rsidRPr="00714987">
        <w:rPr>
          <w:rFonts w:hint="eastAsia"/>
          <w:lang w:eastAsia="zh-CN"/>
        </w:rPr>
        <w:t>enterprises</w:t>
      </w:r>
      <w:r w:rsidRPr="00714987">
        <w:rPr>
          <w:rFonts w:hint="eastAsia"/>
          <w:lang w:val="en-US" w:eastAsia="zh-CN"/>
        </w:rPr>
        <w:t xml:space="preserve"> </w:t>
      </w:r>
      <w:r w:rsidRPr="00714987">
        <w:rPr>
          <w:rFonts w:hint="eastAsia"/>
          <w:lang w:eastAsia="zh-CN"/>
        </w:rPr>
        <w:t>are the main ones next to CBD</w:t>
      </w:r>
      <w:r w:rsidR="00C70276">
        <w:rPr>
          <w:lang w:eastAsia="zh-CN"/>
        </w:rPr>
        <w:t xml:space="preserve"> </w:t>
      </w:r>
      <w:r w:rsidRPr="00714987">
        <w:rPr>
          <w:lang w:eastAsia="zh-CN"/>
        </w:rPr>
        <w:t xml:space="preserve">(Figure </w:t>
      </w:r>
      <w:r w:rsidR="008C39F0" w:rsidRPr="00714987">
        <w:rPr>
          <w:lang w:eastAsia="zh-CN"/>
        </w:rPr>
        <w:t>2</w:t>
      </w:r>
      <w:r w:rsidRPr="00714987">
        <w:rPr>
          <w:lang w:eastAsia="zh-CN"/>
        </w:rPr>
        <w:t>)</w:t>
      </w:r>
      <w:r w:rsidRPr="00714987">
        <w:rPr>
          <w:rFonts w:hint="eastAsia"/>
          <w:lang w:val="en-US" w:eastAsia="zh-CN"/>
        </w:rPr>
        <w:t xml:space="preserve">. </w:t>
      </w:r>
      <w:r w:rsidRPr="00714987">
        <w:rPr>
          <w:lang w:eastAsia="zh-CN"/>
        </w:rPr>
        <w:t>In this way, the more location-sensitive and better</w:t>
      </w:r>
      <w:r w:rsidR="009945A3">
        <w:rPr>
          <w:lang w:eastAsia="zh-CN"/>
        </w:rPr>
        <w:t>-</w:t>
      </w:r>
      <w:r w:rsidRPr="00714987">
        <w:rPr>
          <w:lang w:eastAsia="zh-CN"/>
        </w:rPr>
        <w:t xml:space="preserve">paying commercial businesses gain access to land in the city centre </w:t>
      </w:r>
      <w:r w:rsidRPr="00714987">
        <w:rPr>
          <w:lang w:eastAsia="zh-CN"/>
        </w:rPr>
        <w:fldChar w:fldCharType="begin"/>
      </w:r>
      <w:r w:rsidRPr="00714987">
        <w:rPr>
          <w:lang w:eastAsia="zh-CN"/>
        </w:rPr>
        <w:instrText xml:space="preserve"> ADDIN ZOTERO_ITEM CSL_CITATION {"citationID":"WxAdMEAB","properties":{"formattedCitation":"(Wheaton, 1977)","plainCitation":"(Wheaton, 1977)","noteIndex":0},"citationItems":[{"id":209,"uris":["http://zotero.org/users/10182289/items/VHQXRTVI"],"itemData":{"id":209,"type":"article-journal","abstract":"The importance of modeling the interactions between transportation infrastructure and land use has been demonstrated through a large number of studies. The aim of this paper is, on the one hand, to measure the effect of transportation infrastructure and land-use characteristics on dwelling prices and rents in Thessaloniki, Greece, and, on the other, to investigate the current impact of a future metro line on the area. The results reveal a negative effect of the proximity to port and railway station on property prices and rents, and a positive impact of the proximity to the airport. The metro line, which is still under construction, has a negative impact on the purchase prices, while it does not significantly affect the rents. In the first case, this can be attributed to the negative externalities generated by the construction, which is generally not expected to be completed within the next 5 years, a fact that keeps the expected demand in low levels. This conclusion comes in accordance with other research works based on surveys in the area. In the second case, the variable is insignificant since rents are often short term which means the future implementation of the metro does not affect the candidate tenants</w:instrText>
      </w:r>
      <w:r w:rsidRPr="00714987">
        <w:rPr>
          <w:rFonts w:hint="eastAsia"/>
          <w:lang w:eastAsia="zh-CN"/>
        </w:rPr>
        <w:instrText>’</w:instrText>
      </w:r>
      <w:r w:rsidRPr="00714987">
        <w:rPr>
          <w:lang w:eastAsia="zh-CN"/>
        </w:rPr>
        <w:instrText xml:space="preserve"> decision. For the purpose of this research, spatial econometric models are applied. Such models have been neglected from inclusion in the existing Integrated Land-Use and Transport Models (LUTI), which are used for predicting the effects of transportation policies. The results indicate that such models are able to capture the existing spatial autocorrelation (unlike the linear regression) and the authors suggest their use in LUTI models.\nThe interaction between land use and transportation infrastructure is a topic that has been extensively researched and continues to be of interest as new underlying economic, infrastructure and environmental conditions emerge. In this research, the direct and indirect effects of transportation infrastructure and policies on house prices and rents are studied. Since real estate transaction data are not available, a web-scraping tool was developed to parse house prices and attributes from publicly available resources. Econometric models of two categories were then estimated: (1) hedonic price models, based on Ordinary Least Squares (OLS) and (2) spatial econometric models, such as the spatial regression model (SAR), spatial error (SEM), Durbin (SDM) and autocorrelation (SAC) model and Geographically Weighted Regression (GWR), which are increasingly used by econometricians in order to capture the effect of the – usually unobserved – spatial factors on house valuation.\nThe results of this research indicate that proximity to transportation infrastructure has a direct impact on house and apartment purchase prices and rents, which is either positive or negative depending on the type of the transportation system. Metro, tram, suburban railway and bus stations affect the prices positively, while ISAP (the old urban railway of Attica) and national rail stations, airports and ports, have a negative effect, due to a number of externalities associated with them, such as noise.\nThe obtained results are consistent with expectations and the literature. While these results cannot be assumed directly transferable to other locations and areas, they could be cautiously used as indications for planning applications (where dedicated models have not been developed).\nThis paper reports on LandSys, a land use model that integrates a Cellular Automata (CA) model and agent-based models to facilitate transportation demand modeling and analysis. The LandSys model simulates the spatial suitability of land use change over time based on both the land use suitability and the impacts of neighboring land use types in a CA model framework, coupled with individual decision-makers’ behaviors with agent-based models (e.g., household, employment, and developer agents). To generate inputs for transportation models, two equilibriums in the land use market are considered: land development equilibrium simulates land use change at a manageable cell level (50 m × 50 m), while land supply–demand equilibrium allocates firms and agents based on the bid-rent theory. Data from Orange County, FL, are used in a case study for model estimation and validation. A comparison of model results with actual data from 2000 shows that the proposed LandSys model is effective in estimating land use change, with an accuracy of 85.4%. The model is also responsive to land use policies and could be used for what–if analysis.\nThis study uses a large sample of homes in the San Diego area and Sacramento, California area to provide some of the first capitalization estimates of the sales value of homes with solar panels relative to comparable homes without solar panels. Although the residential solar home market continues to grow, there is little direct evidence on the market capitalization effect. Using both hedonics and a repeat sales index approach we find that solar panels are capitalized at roughly a 3.5% premium. This premium is larger in communities with a greater share of college graduates and of registered Prius hybrid vehicles.\nIn current practice, very few Metropolitan Planning Agencies attempt to capture the effects of transportation system changes on land use, and the consequent feedback effects on transportation system performance, despite substantial evidence that these effects may be significant. In this paper, we present a case study on the application of UrbanSim, a detailed land use simulation model system, and its integration with a regional travel demand model in the Greater Wasatch Front area of Utah. Like several other metropolitan areas, this region has recently been confronted with legal challenges to proposed highway projects, drawing substantial scrutiny to the land use-transportation connection. We describe the UrbanSim model specification, results from model estimation, and sensitivity analyses conducted with the combined land use and travel model system. The results of the sensitivity analysis suggest that accounting for the land use effects of a regional transportation plan may produce significant shifts in key transportation evaluation measures such as vehicle miles traveled, vehicle hours traveled, and hours of congestion delay.\nThe poor level of habitability, coupled with the high level of dilapidation of dwelling units in the core areas of Nigerian towns, have now reached a crisis level. Large-scale urban renewal schemes have failed, for various reasons, to produce wholesome and salubrious living environments. Various options that aim at targeting individual core area houses for re-development have been put forward by researchers. The question, however, is whether tenants are really prepared to pay for such housing improvement. This study reports the level of tenants’ willingness to pay for better housing in the core-area neighbourhoods in Akure, Nigeria. Fifty respondents living in targeted housing units were randomly selected from each of the three core-area residential neighbourhoods in Akure for the study, giving rise to a sample frame of 150. The study employed the linear and log-linear regression modelling techniques and discovered that economic empowerment (represented by two surrogates—income of household heads and the number of income earning workers in the family) was a crucial factor affecting tenants’ willingness to pay for better housing. Recommendations were advanced based on the findings of the research.","container-title":"Journal of Urban Economics","DOI":"10.1016/0094-1190(77)90023-7","ISSN":"0094-1190","issue":"2","journalAbbreviation":"Journal of Urban Economics","language":"en","page":"200-217","source":"ScienceDirect","title":"A bid rent approach to housing demand","title-short":</w:instrText>
      </w:r>
      <w:r w:rsidRPr="00714987">
        <w:rPr>
          <w:rFonts w:hint="eastAsia"/>
          <w:lang w:eastAsia="zh-CN"/>
        </w:rPr>
        <w:instrText>"</w:instrText>
      </w:r>
      <w:r w:rsidRPr="00714987">
        <w:rPr>
          <w:rFonts w:ascii="Segoe UI Emoji" w:hAnsi="Segoe UI Emoji" w:cs="Segoe UI Emoji"/>
          <w:lang w:eastAsia="zh-CN"/>
        </w:rPr>
        <w:instrText>🔤</w:instrText>
      </w:r>
      <w:r w:rsidRPr="00714987">
        <w:rPr>
          <w:rFonts w:hint="eastAsia"/>
          <w:lang w:eastAsia="zh-CN"/>
        </w:rPr>
        <w:instrText>对住房需求的投标租金方法</w:instrText>
      </w:r>
      <w:r w:rsidRPr="00714987">
        <w:rPr>
          <w:rFonts w:hint="eastAsia"/>
          <w:lang w:eastAsia="zh-CN"/>
        </w:rPr>
        <w:instrText xml:space="preserve">","volume":"4","author":[{"family":"Wheaton","given":"William C."}],"issued":{"date-parts":[["1977",4,1]]}}}],"schema":"https://github.com/citation-style-language/schema/raw/master/csl-citation.json"} </w:instrText>
      </w:r>
      <w:r w:rsidRPr="00714987">
        <w:rPr>
          <w:lang w:eastAsia="zh-CN"/>
        </w:rPr>
        <w:fldChar w:fldCharType="separate"/>
      </w:r>
      <w:r w:rsidRPr="00714987">
        <w:rPr>
          <w:lang w:eastAsia="zh-CN"/>
        </w:rPr>
        <w:t>(Wheaton, 1977)</w:t>
      </w:r>
      <w:r w:rsidRPr="00714987">
        <w:rPr>
          <w:lang w:eastAsia="zh-CN"/>
        </w:rPr>
        <w:fldChar w:fldCharType="end"/>
      </w:r>
      <w:r w:rsidRPr="00714987">
        <w:rPr>
          <w:lang w:eastAsia="zh-CN"/>
        </w:rPr>
        <w:t xml:space="preserve">. In </w:t>
      </w:r>
      <w:r w:rsidRPr="00714987">
        <w:rPr>
          <w:rFonts w:hint="eastAsia"/>
          <w:lang w:eastAsia="zh-CN"/>
        </w:rPr>
        <w:t>a word</w:t>
      </w:r>
      <w:r w:rsidRPr="00714987">
        <w:rPr>
          <w:lang w:eastAsia="zh-CN"/>
        </w:rPr>
        <w:t xml:space="preserve">, the entire urban land use structure of Manchester is </w:t>
      </w:r>
      <w:r w:rsidR="008C39F0" w:rsidRPr="00714987">
        <w:t>fundamental</w:t>
      </w:r>
      <w:r w:rsidR="009945A3">
        <w:t>ly</w:t>
      </w:r>
      <w:r w:rsidR="008C39F0" w:rsidRPr="00714987">
        <w:t xml:space="preserve"> </w:t>
      </w:r>
      <w:r w:rsidRPr="00714987">
        <w:rPr>
          <w:lang w:eastAsia="zh-CN"/>
        </w:rPr>
        <w:t>consistent with the Bid-rent model.</w:t>
      </w:r>
    </w:p>
    <w:tbl>
      <w:tblPr>
        <w:tblStyle w:val="af9"/>
        <w:tblW w:w="87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368"/>
      </w:tblGrid>
      <w:tr w:rsidR="009B2CBD" w:rsidRPr="00714987" w14:paraId="39A80207" w14:textId="77777777" w:rsidTr="009B2CBD">
        <w:trPr>
          <w:trHeight w:val="3342"/>
          <w:jc w:val="center"/>
        </w:trPr>
        <w:tc>
          <w:tcPr>
            <w:tcW w:w="4416" w:type="dxa"/>
          </w:tcPr>
          <w:bookmarkEnd w:id="0"/>
          <w:p w14:paraId="323D5216" w14:textId="77777777" w:rsidR="009B2CBD" w:rsidRPr="00714987" w:rsidRDefault="009B2CBD" w:rsidP="00C32394">
            <w:pPr>
              <w:keepNext/>
              <w:spacing w:line="60" w:lineRule="auto"/>
              <w:rPr>
                <w:lang w:eastAsia="zh-CN"/>
              </w:rPr>
            </w:pPr>
            <w:r w:rsidRPr="00B83FEE">
              <w:rPr>
                <w:rFonts w:asciiTheme="majorHAnsi" w:eastAsia="黑体" w:hAnsiTheme="majorHAnsi" w:cstheme="majorBidi"/>
                <w:i/>
                <w:iCs/>
                <w:noProof/>
                <w:sz w:val="20"/>
                <w:szCs w:val="20"/>
                <w:lang w:eastAsia="zh-CN"/>
              </w:rPr>
              <w:lastRenderedPageBreak/>
              <w:drawing>
                <wp:anchor distT="0" distB="0" distL="114300" distR="114300" simplePos="0" relativeHeight="251661312" behindDoc="0" locked="0" layoutInCell="1" allowOverlap="1" wp14:anchorId="70CA4857" wp14:editId="084F825C">
                  <wp:simplePos x="0" y="0"/>
                  <wp:positionH relativeFrom="column">
                    <wp:posOffset>40005</wp:posOffset>
                  </wp:positionH>
                  <wp:positionV relativeFrom="paragraph">
                    <wp:posOffset>88265</wp:posOffset>
                  </wp:positionV>
                  <wp:extent cx="2619375" cy="1924050"/>
                  <wp:effectExtent l="19050" t="19050" r="28575" b="190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0" cstate="print">
                            <a:extLst>
                              <a:ext uri="{28A0092B-C50C-407E-A947-70E740481C1C}">
                                <a14:useLocalDpi xmlns:a14="http://schemas.microsoft.com/office/drawing/2010/main" val="0"/>
                              </a:ext>
                            </a:extLst>
                          </a:blip>
                          <a:srcRect t="5456" b="193"/>
                          <a:stretch/>
                        </pic:blipFill>
                        <pic:spPr bwMode="auto">
                          <a:xfrm>
                            <a:off x="0" y="0"/>
                            <a:ext cx="2619375" cy="19240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3FEE">
              <w:rPr>
                <w:rFonts w:asciiTheme="majorHAnsi" w:eastAsia="黑体" w:hAnsiTheme="majorHAnsi" w:cstheme="majorBidi" w:hint="eastAsia"/>
                <w:i/>
                <w:iCs/>
                <w:sz w:val="20"/>
                <w:szCs w:val="20"/>
                <w:lang w:eastAsia="zh-CN"/>
              </w:rPr>
              <w:t>(</w:t>
            </w:r>
            <w:r w:rsidRPr="00B83FEE">
              <w:rPr>
                <w:rFonts w:asciiTheme="majorHAnsi" w:eastAsia="黑体" w:hAnsiTheme="majorHAnsi" w:cstheme="majorBidi"/>
                <w:i/>
                <w:iCs/>
                <w:sz w:val="20"/>
                <w:szCs w:val="20"/>
                <w:lang w:eastAsia="zh-CN"/>
              </w:rPr>
              <w:t>a)</w:t>
            </w:r>
          </w:p>
        </w:tc>
        <w:tc>
          <w:tcPr>
            <w:tcW w:w="4368" w:type="dxa"/>
          </w:tcPr>
          <w:p w14:paraId="7582E56A" w14:textId="77777777" w:rsidR="009B2CBD" w:rsidRPr="00B83FEE" w:rsidRDefault="009B2CBD" w:rsidP="00C32394">
            <w:pPr>
              <w:keepNext/>
              <w:spacing w:line="60" w:lineRule="auto"/>
              <w:rPr>
                <w:lang w:eastAsia="zh-CN"/>
              </w:rPr>
            </w:pPr>
            <w:r w:rsidRPr="00B83FEE">
              <w:rPr>
                <w:rFonts w:asciiTheme="majorHAnsi" w:eastAsia="黑体" w:hAnsiTheme="majorHAnsi" w:cstheme="majorBidi"/>
                <w:i/>
                <w:iCs/>
                <w:noProof/>
                <w:sz w:val="20"/>
                <w:szCs w:val="20"/>
                <w:lang w:eastAsia="zh-CN"/>
              </w:rPr>
              <w:drawing>
                <wp:anchor distT="0" distB="0" distL="114300" distR="114300" simplePos="0" relativeHeight="251662336" behindDoc="0" locked="0" layoutInCell="1" allowOverlap="1" wp14:anchorId="6D0BD9E0" wp14:editId="3EF622F9">
                  <wp:simplePos x="0" y="0"/>
                  <wp:positionH relativeFrom="column">
                    <wp:posOffset>23495</wp:posOffset>
                  </wp:positionH>
                  <wp:positionV relativeFrom="paragraph">
                    <wp:posOffset>75565</wp:posOffset>
                  </wp:positionV>
                  <wp:extent cx="2487295" cy="1936750"/>
                  <wp:effectExtent l="0" t="0" r="8255"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7295" cy="1936750"/>
                          </a:xfrm>
                          <a:prstGeom prst="rect">
                            <a:avLst/>
                          </a:prstGeom>
                        </pic:spPr>
                      </pic:pic>
                    </a:graphicData>
                  </a:graphic>
                  <wp14:sizeRelH relativeFrom="margin">
                    <wp14:pctWidth>0</wp14:pctWidth>
                  </wp14:sizeRelH>
                  <wp14:sizeRelV relativeFrom="margin">
                    <wp14:pctHeight>0</wp14:pctHeight>
                  </wp14:sizeRelV>
                </wp:anchor>
              </w:drawing>
            </w:r>
            <w:r w:rsidRPr="00B83FEE">
              <w:rPr>
                <w:rFonts w:asciiTheme="majorHAnsi" w:eastAsia="黑体" w:hAnsiTheme="majorHAnsi" w:cstheme="majorBidi" w:hint="eastAsia"/>
                <w:i/>
                <w:iCs/>
                <w:sz w:val="20"/>
                <w:szCs w:val="20"/>
                <w:lang w:eastAsia="zh-CN"/>
              </w:rPr>
              <w:t>(</w:t>
            </w:r>
            <w:r w:rsidRPr="00B83FEE">
              <w:rPr>
                <w:rFonts w:asciiTheme="majorHAnsi" w:eastAsia="黑体" w:hAnsiTheme="majorHAnsi" w:cstheme="majorBidi"/>
                <w:i/>
                <w:iCs/>
                <w:sz w:val="20"/>
                <w:szCs w:val="20"/>
                <w:lang w:eastAsia="zh-CN"/>
              </w:rPr>
              <w:t>b)</w:t>
            </w:r>
          </w:p>
        </w:tc>
      </w:tr>
      <w:tr w:rsidR="009B2CBD" w:rsidRPr="00714987" w14:paraId="4B3CA672" w14:textId="77777777" w:rsidTr="009B2CBD">
        <w:trPr>
          <w:trHeight w:val="50"/>
          <w:jc w:val="center"/>
        </w:trPr>
        <w:tc>
          <w:tcPr>
            <w:tcW w:w="8784" w:type="dxa"/>
            <w:gridSpan w:val="2"/>
          </w:tcPr>
          <w:p w14:paraId="7D629D62" w14:textId="03768FC0" w:rsidR="009B2CBD" w:rsidRPr="00714987" w:rsidRDefault="00B81016" w:rsidP="00C32394">
            <w:pPr>
              <w:keepNext/>
              <w:spacing w:line="240" w:lineRule="auto"/>
              <w:rPr>
                <w:noProof/>
              </w:rPr>
            </w:pPr>
            <w:r>
              <w:rPr>
                <w:rFonts w:asciiTheme="majorHAnsi" w:eastAsia="黑体" w:hAnsiTheme="majorHAnsi" w:cstheme="majorBidi"/>
                <w:i/>
                <w:iCs/>
                <w:sz w:val="20"/>
                <w:szCs w:val="20"/>
                <w:lang w:eastAsia="zh-CN"/>
              </w:rPr>
              <w:t>Figure2:</w:t>
            </w:r>
            <w:r w:rsidR="009B2CBD" w:rsidRPr="009B2CBD">
              <w:rPr>
                <w:rFonts w:asciiTheme="majorHAnsi" w:eastAsia="黑体" w:hAnsiTheme="majorHAnsi" w:cstheme="majorBidi"/>
                <w:i/>
                <w:iCs/>
                <w:sz w:val="20"/>
                <w:szCs w:val="20"/>
                <w:lang w:eastAsia="zh-CN"/>
              </w:rPr>
              <w:t>Two land use distribution maps for the Manchester</w:t>
            </w:r>
            <w:r w:rsidR="009B2CBD">
              <w:rPr>
                <w:rFonts w:asciiTheme="majorHAnsi" w:eastAsia="黑体" w:hAnsiTheme="majorHAnsi" w:cstheme="majorBidi"/>
                <w:i/>
                <w:iCs/>
                <w:sz w:val="20"/>
                <w:szCs w:val="20"/>
                <w:lang w:eastAsia="zh-CN"/>
              </w:rPr>
              <w:t>. (a)</w:t>
            </w:r>
            <w:r w:rsidR="009B2CBD">
              <w:t xml:space="preserve"> </w:t>
            </w:r>
            <w:r w:rsidR="009B2CBD" w:rsidRPr="009B2CBD">
              <w:rPr>
                <w:rFonts w:asciiTheme="majorHAnsi" w:eastAsia="黑体" w:hAnsiTheme="majorHAnsi" w:cstheme="majorBidi"/>
                <w:i/>
                <w:iCs/>
                <w:sz w:val="20"/>
                <w:szCs w:val="20"/>
                <w:lang w:eastAsia="zh-CN"/>
              </w:rPr>
              <w:t>Land use map of Manchester</w:t>
            </w:r>
            <w:r w:rsidR="009B2CBD">
              <w:rPr>
                <w:rFonts w:asciiTheme="majorHAnsi" w:eastAsia="黑体" w:hAnsiTheme="majorHAnsi" w:cstheme="majorBidi"/>
                <w:i/>
                <w:iCs/>
                <w:sz w:val="20"/>
                <w:szCs w:val="20"/>
                <w:lang w:eastAsia="zh-CN"/>
              </w:rPr>
              <w:t>,</w:t>
            </w:r>
            <w:r w:rsidR="009B2CBD">
              <w:t xml:space="preserve"> </w:t>
            </w:r>
            <w:r w:rsidR="009B2CBD" w:rsidRPr="00B83FEE">
              <w:rPr>
                <w:rFonts w:asciiTheme="majorHAnsi" w:eastAsia="黑体" w:hAnsiTheme="majorHAnsi" w:cstheme="majorBidi"/>
                <w:i/>
                <w:iCs/>
                <w:sz w:val="20"/>
                <w:szCs w:val="20"/>
                <w:lang w:eastAsia="zh-CN"/>
              </w:rPr>
              <w:t xml:space="preserve">Data Source: </w:t>
            </w:r>
            <w:r w:rsidR="009B2CBD" w:rsidRPr="009B2CBD">
              <w:rPr>
                <w:rFonts w:asciiTheme="majorHAnsi" w:eastAsia="黑体" w:hAnsiTheme="majorHAnsi" w:cstheme="majorBidi"/>
                <w:i/>
                <w:iCs/>
                <w:sz w:val="20"/>
                <w:szCs w:val="20"/>
                <w:lang w:eastAsia="zh-CN"/>
              </w:rPr>
              <w:t xml:space="preserve">UK government </w:t>
            </w:r>
            <w:r w:rsidR="00C70276" w:rsidRPr="009B2CBD">
              <w:rPr>
                <w:rFonts w:asciiTheme="majorHAnsi" w:eastAsia="黑体" w:hAnsiTheme="majorHAnsi" w:cstheme="majorBidi"/>
                <w:i/>
                <w:iCs/>
                <w:sz w:val="20"/>
                <w:szCs w:val="20"/>
                <w:lang w:eastAsia="zh-CN"/>
              </w:rPr>
              <w:t>website</w:t>
            </w:r>
            <w:r w:rsidR="00C70276">
              <w:rPr>
                <w:rFonts w:asciiTheme="majorHAnsi" w:eastAsia="黑体" w:hAnsiTheme="majorHAnsi" w:cstheme="majorBidi"/>
                <w:i/>
                <w:iCs/>
                <w:sz w:val="20"/>
                <w:szCs w:val="20"/>
                <w:lang w:eastAsia="zh-CN"/>
              </w:rPr>
              <w:t>. (</w:t>
            </w:r>
            <w:r w:rsidR="009B2CBD">
              <w:rPr>
                <w:rFonts w:asciiTheme="majorHAnsi" w:eastAsia="黑体" w:hAnsiTheme="majorHAnsi" w:cstheme="majorBidi"/>
                <w:i/>
                <w:iCs/>
                <w:sz w:val="20"/>
                <w:szCs w:val="20"/>
                <w:lang w:eastAsia="zh-CN"/>
              </w:rPr>
              <w:t>b)</w:t>
            </w:r>
            <w:r w:rsidR="009B2CBD">
              <w:t xml:space="preserve"> </w:t>
            </w:r>
            <w:r w:rsidR="009B2CBD" w:rsidRPr="009B2CBD">
              <w:rPr>
                <w:rFonts w:asciiTheme="majorHAnsi" w:eastAsia="黑体" w:hAnsiTheme="majorHAnsi" w:cstheme="majorBidi"/>
                <w:i/>
                <w:iCs/>
                <w:sz w:val="20"/>
                <w:szCs w:val="20"/>
                <w:lang w:eastAsia="zh-CN"/>
              </w:rPr>
              <w:t>Commercial Retail Distribution Map</w:t>
            </w:r>
            <w:r w:rsidR="009B2CBD" w:rsidRPr="009B2CBD">
              <w:rPr>
                <w:rFonts w:asciiTheme="majorHAnsi" w:eastAsia="黑体" w:hAnsiTheme="majorHAnsi" w:cstheme="majorBidi"/>
                <w:i/>
                <w:iCs/>
                <w:sz w:val="20"/>
                <w:szCs w:val="20"/>
                <w:lang w:eastAsia="zh-CN"/>
              </w:rPr>
              <w:cr/>
            </w:r>
            <w:r w:rsidR="009B2CBD" w:rsidRPr="00B83FEE">
              <w:rPr>
                <w:rFonts w:asciiTheme="majorHAnsi" w:eastAsia="黑体" w:hAnsiTheme="majorHAnsi" w:cstheme="majorBidi"/>
                <w:i/>
                <w:iCs/>
                <w:sz w:val="20"/>
                <w:szCs w:val="20"/>
                <w:lang w:eastAsia="zh-CN"/>
              </w:rPr>
              <w:cr/>
            </w:r>
            <w:r w:rsidR="009B2CBD">
              <w:rPr>
                <w:rFonts w:asciiTheme="majorHAnsi" w:eastAsia="黑体" w:hAnsiTheme="majorHAnsi" w:cstheme="majorBidi"/>
                <w:i/>
                <w:iCs/>
                <w:sz w:val="20"/>
                <w:szCs w:val="20"/>
                <w:lang w:eastAsia="zh-CN"/>
              </w:rPr>
              <w:t>,</w:t>
            </w:r>
            <w:r w:rsidR="009B2CBD">
              <w:t xml:space="preserve"> </w:t>
            </w:r>
            <w:r w:rsidR="009B2CBD" w:rsidRPr="00B83FEE">
              <w:rPr>
                <w:rFonts w:asciiTheme="majorHAnsi" w:eastAsia="黑体" w:hAnsiTheme="majorHAnsi" w:cstheme="majorBidi"/>
                <w:i/>
                <w:iCs/>
                <w:sz w:val="20"/>
                <w:szCs w:val="20"/>
                <w:lang w:eastAsia="zh-CN"/>
              </w:rPr>
              <w:t xml:space="preserve">Data Source: </w:t>
            </w:r>
            <w:r w:rsidR="009B2CBD" w:rsidRPr="009B2CBD">
              <w:rPr>
                <w:rFonts w:asciiTheme="majorHAnsi" w:eastAsia="黑体" w:hAnsiTheme="majorHAnsi" w:cstheme="majorBidi"/>
                <w:i/>
                <w:iCs/>
                <w:sz w:val="20"/>
                <w:szCs w:val="20"/>
                <w:lang w:eastAsia="zh-CN"/>
              </w:rPr>
              <w:t>UK government website</w:t>
            </w:r>
          </w:p>
        </w:tc>
      </w:tr>
    </w:tbl>
    <w:p w14:paraId="0DA2EBE6" w14:textId="4B07D5E9" w:rsidR="00AA47F7" w:rsidRPr="00714987" w:rsidRDefault="00000000">
      <w:pPr>
        <w:rPr>
          <w:lang w:eastAsia="zh-CN"/>
        </w:rPr>
      </w:pPr>
      <w:r w:rsidRPr="00714987">
        <w:rPr>
          <w:lang w:eastAsia="zh-CN"/>
        </w:rPr>
        <w:t>Thirdly, there is a social feature of the Bid-rent model</w:t>
      </w:r>
      <w:r w:rsidRPr="00714987">
        <w:rPr>
          <w:rFonts w:hint="eastAsia"/>
          <w:lang w:val="en-US" w:eastAsia="zh-CN"/>
        </w:rPr>
        <w:t>,</w:t>
      </w:r>
      <w:r w:rsidRPr="00714987">
        <w:rPr>
          <w:lang w:eastAsia="zh-CN"/>
        </w:rPr>
        <w:t xml:space="preserve"> </w:t>
      </w:r>
      <w:r w:rsidRPr="00714987">
        <w:rPr>
          <w:rFonts w:hint="eastAsia"/>
          <w:lang w:val="en-US" w:eastAsia="zh-CN"/>
        </w:rPr>
        <w:t>that is,</w:t>
      </w:r>
      <w:r w:rsidRPr="00714987">
        <w:rPr>
          <w:lang w:eastAsia="zh-CN"/>
        </w:rPr>
        <w:t xml:space="preserve"> the poor choose to live in city cent</w:t>
      </w:r>
      <w:r w:rsidRPr="00714987">
        <w:rPr>
          <w:rFonts w:hint="eastAsia"/>
          <w:lang w:val="en-US" w:eastAsia="zh-CN"/>
        </w:rPr>
        <w:t>er</w:t>
      </w:r>
      <w:r w:rsidRPr="00714987">
        <w:rPr>
          <w:lang w:eastAsia="zh-CN"/>
        </w:rPr>
        <w:t xml:space="preserve"> close</w:t>
      </w:r>
      <w:r w:rsidRPr="00714987">
        <w:rPr>
          <w:rFonts w:hint="eastAsia"/>
          <w:lang w:val="en-US" w:eastAsia="zh-CN"/>
        </w:rPr>
        <w:t>r</w:t>
      </w:r>
      <w:r w:rsidRPr="00714987">
        <w:rPr>
          <w:lang w:eastAsia="zh-CN"/>
        </w:rPr>
        <w:t xml:space="preserve"> to their workplaces because they cannot afford commuting</w:t>
      </w:r>
      <w:r w:rsidRPr="00714987">
        <w:rPr>
          <w:rFonts w:hint="eastAsia"/>
          <w:lang w:val="en-US" w:eastAsia="zh-CN"/>
        </w:rPr>
        <w:t xml:space="preserve"> </w:t>
      </w:r>
      <w:r w:rsidRPr="00714987">
        <w:rPr>
          <w:lang w:eastAsia="zh-CN"/>
        </w:rPr>
        <w:t>cost</w:t>
      </w:r>
      <w:r w:rsidRPr="00714987">
        <w:rPr>
          <w:rFonts w:hint="eastAsia"/>
          <w:lang w:val="en-US" w:eastAsia="zh-CN"/>
        </w:rPr>
        <w:t>s</w:t>
      </w:r>
      <w:r w:rsidRPr="00714987">
        <w:rPr>
          <w:lang w:eastAsia="zh-CN"/>
        </w:rPr>
        <w:t xml:space="preserve">, while the rich are </w:t>
      </w:r>
      <w:r w:rsidRPr="00714987">
        <w:rPr>
          <w:rFonts w:hint="eastAsia"/>
          <w:lang w:val="en-US" w:eastAsia="zh-CN"/>
        </w:rPr>
        <w:t>in</w:t>
      </w:r>
      <w:r w:rsidRPr="00714987">
        <w:rPr>
          <w:lang w:eastAsia="zh-CN"/>
        </w:rPr>
        <w:t xml:space="preserve">sensitive to transport costs. They choose to live in Picturesque </w:t>
      </w:r>
      <w:r w:rsidRPr="00714987">
        <w:rPr>
          <w:rFonts w:hint="eastAsia"/>
          <w:lang w:eastAsia="zh-CN"/>
        </w:rPr>
        <w:t>place</w:t>
      </w:r>
      <w:r w:rsidRPr="00714987">
        <w:rPr>
          <w:rFonts w:hint="eastAsia"/>
          <w:lang w:val="en-US" w:eastAsia="zh-CN"/>
        </w:rPr>
        <w:t>s</w:t>
      </w:r>
      <w:r w:rsidRPr="00714987">
        <w:rPr>
          <w:lang w:eastAsia="zh-CN"/>
        </w:rPr>
        <w:t xml:space="preserve"> on the outskirts of the city </w:t>
      </w:r>
      <w:r w:rsidRPr="00714987">
        <w:rPr>
          <w:lang w:eastAsia="zh-CN"/>
        </w:rPr>
        <w:fldChar w:fldCharType="begin"/>
      </w:r>
      <w:r w:rsidRPr="00714987">
        <w:rPr>
          <w:lang w:eastAsia="zh-CN"/>
        </w:rPr>
        <w:instrText xml:space="preserve"> ADDIN ZOTERO_ITEM CSL_CITATION {"citationID":"jnguaFO8","properties":{"formattedCitation":"(Cuberes, Roberts and Sechel, 2019)","plainCitation":"(Cuberes, Roberts and Sechel, 2019)","noteIndex":0},"citationItems":[{"id":216,"uris":["http://zotero.org/users/10182289/items/3G6Q5EK5"],"itemData":{"id":216,"type":"article-journal","abstract":"This paper is the first to test an amenity-based sorting model for cities in England. We explore household location under both monocentric and polycentric assumptions about city structure. On average, we find no systematic relationship between income and household distance to the city centre. However, there are differences between cities, with a positive income-distance relationship in Birmingham and Leeds, and a negative relationship in Newcastle. Household heterogeneity is also important; for example, on average households with heads who are migrants live 25% closer to the centre than non-migrants. We also find that only the employed (and those above the poverty line) are influenced by the availability of public transport, which is in direct opposition to the US evidence.","container-title":"Regional Science and Urban Economics","DOI":"10.1016/j.regsciurbeco.2019.01.012","ISSN":"0166-0462","journalAbbreviation":"Regional Science and Urban Economics","language":"en","page":"120-135","source":"ScienceDirect","title":"Household location in English cities","volume":"75","author":[{"family":"Cuberes","given":"David"},{"family":"Roberts","given":"Jennifer"},{"family":"Sechel","given":"Cristina"}],"issued":{"date-parts":[["2019",3,1]]}}}],"schema":"https://github.com/citation-style-language/schema/raw/master/csl-citation.json"} </w:instrText>
      </w:r>
      <w:r w:rsidRPr="00714987">
        <w:rPr>
          <w:lang w:eastAsia="zh-CN"/>
        </w:rPr>
        <w:fldChar w:fldCharType="separate"/>
      </w:r>
      <w:r w:rsidRPr="00714987">
        <w:rPr>
          <w:lang w:eastAsia="zh-CN"/>
        </w:rPr>
        <w:t>(Cuberes, Roberts and Sechel, 2019)</w:t>
      </w:r>
      <w:r w:rsidRPr="00714987">
        <w:rPr>
          <w:lang w:eastAsia="zh-CN"/>
        </w:rPr>
        <w:fldChar w:fldCharType="end"/>
      </w:r>
      <w:r w:rsidRPr="00714987">
        <w:rPr>
          <w:rFonts w:hint="eastAsia"/>
          <w:lang w:eastAsia="zh-CN"/>
        </w:rPr>
        <w:t>.</w:t>
      </w:r>
      <w:r w:rsidRPr="00714987">
        <w:rPr>
          <w:lang w:eastAsia="zh-CN"/>
        </w:rPr>
        <w:t xml:space="preserve"> In the GMCA Research 2020 report on Manchester's housing market</w:t>
      </w:r>
      <w:r w:rsidRPr="00714987">
        <w:rPr>
          <w:lang w:eastAsia="zh-CN"/>
        </w:rPr>
        <w:fldChar w:fldCharType="begin"/>
      </w:r>
      <w:r w:rsidRPr="00714987">
        <w:rPr>
          <w:lang w:eastAsia="zh-CN"/>
        </w:rPr>
        <w:instrText xml:space="preserve"> ADDIN ZOTERO_ITEM CSL_CITATION {"citationID":"Nv9DymTg","properties":{"formattedCitation":"(Schofield, 2020)","plainCitation":"(Schofield, 2020)","noteIndex":0},"citationItems":[{"id":294,"uris":["http://zotero.org/users/10182289/items/46PRI3FP"],"itemData":{"id":294,"type":"article-journal","language":"en","page":"40","source":"Zotero","title":"Greater Manchester Housing Market Monitor  January 2020  GMCA Research","author":[{"family":"Schofield","given":"Pete"}],"issued":{"date-parts":[["2020"]]}}}],"schema":"https://github.com/citation-style-language/schema/raw/master/csl-citation.json"} </w:instrText>
      </w:r>
      <w:r w:rsidRPr="00714987">
        <w:rPr>
          <w:lang w:eastAsia="zh-CN"/>
        </w:rPr>
        <w:fldChar w:fldCharType="separate"/>
      </w:r>
      <w:r w:rsidRPr="00714987">
        <w:t>(Schofield, 2020)</w:t>
      </w:r>
      <w:r w:rsidRPr="00714987">
        <w:rPr>
          <w:lang w:eastAsia="zh-CN"/>
        </w:rPr>
        <w:fldChar w:fldCharType="end"/>
      </w:r>
      <w:r w:rsidRPr="00714987">
        <w:rPr>
          <w:lang w:eastAsia="zh-CN"/>
        </w:rPr>
        <w:t xml:space="preserve">, the 2019 Manchester Median Household Income </w:t>
      </w:r>
      <w:r w:rsidRPr="00714987">
        <w:rPr>
          <w:rFonts w:hint="eastAsia"/>
          <w:lang w:eastAsia="zh-CN"/>
        </w:rPr>
        <w:t>map</w:t>
      </w:r>
      <w:r w:rsidRPr="00714987">
        <w:rPr>
          <w:lang w:eastAsia="zh-CN"/>
        </w:rPr>
        <w:t xml:space="preserve">(Figure </w:t>
      </w:r>
      <w:r w:rsidR="008C39F0" w:rsidRPr="00714987">
        <w:rPr>
          <w:lang w:eastAsia="zh-CN"/>
        </w:rPr>
        <w:t>3</w:t>
      </w:r>
      <w:r w:rsidRPr="00714987">
        <w:rPr>
          <w:lang w:eastAsia="zh-CN"/>
        </w:rPr>
        <w:t xml:space="preserve">) shows that </w:t>
      </w:r>
      <w:r w:rsidRPr="00714987">
        <w:rPr>
          <w:rFonts w:hint="eastAsia"/>
          <w:lang w:eastAsia="zh-CN"/>
        </w:rPr>
        <w:t>the family income</w:t>
      </w:r>
      <w:r w:rsidRPr="00714987">
        <w:rPr>
          <w:lang w:eastAsia="zh-CN"/>
        </w:rPr>
        <w:t xml:space="preserve"> in the city centre</w:t>
      </w:r>
      <w:r w:rsidRPr="00714987">
        <w:rPr>
          <w:rFonts w:hint="eastAsia"/>
          <w:lang w:val="en-US" w:eastAsia="zh-CN"/>
        </w:rPr>
        <w:t xml:space="preserve"> is</w:t>
      </w:r>
      <w:r w:rsidRPr="00714987">
        <w:rPr>
          <w:lang w:eastAsia="zh-CN"/>
        </w:rPr>
        <w:t xml:space="preserve"> the lowest</w:t>
      </w:r>
      <w:r w:rsidRPr="00714987">
        <w:rPr>
          <w:rFonts w:hint="eastAsia"/>
          <w:lang w:val="en-US" w:eastAsia="zh-CN"/>
        </w:rPr>
        <w:t>. And w</w:t>
      </w:r>
      <w:proofErr w:type="spellStart"/>
      <w:r w:rsidRPr="00714987">
        <w:rPr>
          <w:lang w:eastAsia="zh-CN"/>
        </w:rPr>
        <w:t>ith</w:t>
      </w:r>
      <w:proofErr w:type="spellEnd"/>
      <w:r w:rsidRPr="00714987">
        <w:rPr>
          <w:lang w:eastAsia="zh-CN"/>
        </w:rPr>
        <w:t xml:space="preserve"> </w:t>
      </w:r>
      <w:r w:rsidRPr="00714987">
        <w:rPr>
          <w:rFonts w:hint="eastAsia"/>
          <w:lang w:eastAsia="zh-CN"/>
        </w:rPr>
        <w:t xml:space="preserve">the increasing distance from the city </w:t>
      </w:r>
      <w:proofErr w:type="spellStart"/>
      <w:r w:rsidRPr="00714987">
        <w:rPr>
          <w:rFonts w:hint="eastAsia"/>
          <w:lang w:eastAsia="zh-CN"/>
        </w:rPr>
        <w:t>center</w:t>
      </w:r>
      <w:proofErr w:type="spellEnd"/>
      <w:r w:rsidRPr="00714987">
        <w:rPr>
          <w:rFonts w:hint="eastAsia"/>
          <w:lang w:eastAsia="zh-CN"/>
        </w:rPr>
        <w:t>, the family income presents a higher social model</w:t>
      </w:r>
      <w:r w:rsidRPr="00714987">
        <w:rPr>
          <w:lang w:eastAsia="zh-CN"/>
        </w:rPr>
        <w:t>. Once again, this fits well with the concept in the Bid-rent Model.</w:t>
      </w:r>
    </w:p>
    <w:tbl>
      <w:tblPr>
        <w:tblStyle w:val="af9"/>
        <w:tblW w:w="8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tblGrid>
      <w:tr w:rsidR="00AA47F7" w:rsidRPr="00714987" w14:paraId="51D7C06E" w14:textId="77777777">
        <w:trPr>
          <w:trHeight w:val="2901"/>
          <w:jc w:val="center"/>
        </w:trPr>
        <w:tc>
          <w:tcPr>
            <w:tcW w:w="8500" w:type="dxa"/>
          </w:tcPr>
          <w:p w14:paraId="3E4096D8" w14:textId="6D4A9D1E" w:rsidR="00AA47F7" w:rsidRPr="00714987" w:rsidRDefault="00000000">
            <w:pPr>
              <w:keepNext/>
              <w:jc w:val="center"/>
            </w:pPr>
            <w:r w:rsidRPr="00714987">
              <w:rPr>
                <w:rFonts w:hint="eastAsia"/>
                <w:noProof/>
                <w:lang w:eastAsia="zh-CN"/>
              </w:rPr>
              <w:drawing>
                <wp:inline distT="0" distB="0" distL="0" distR="0" wp14:anchorId="1BBAFFA4" wp14:editId="118E0D4E">
                  <wp:extent cx="3710807" cy="2679700"/>
                  <wp:effectExtent l="19050" t="19050" r="23495" b="254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extLst>
                              <a:ext uri="{28A0092B-C50C-407E-A947-70E740481C1C}">
                                <a14:useLocalDpi xmlns:a14="http://schemas.microsoft.com/office/drawing/2010/main" val="0"/>
                              </a:ext>
                            </a:extLst>
                          </a:blip>
                          <a:srcRect t="7256"/>
                          <a:stretch>
                            <a:fillRect/>
                          </a:stretch>
                        </pic:blipFill>
                        <pic:spPr>
                          <a:xfrm>
                            <a:off x="0" y="0"/>
                            <a:ext cx="3764411" cy="2718409"/>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4EE7B076" w14:textId="5D1482DA" w:rsidR="00AA47F7" w:rsidRPr="009B2CBD" w:rsidRDefault="00000000">
            <w:pPr>
              <w:pStyle w:val="13"/>
              <w:snapToGrid w:val="0"/>
              <w:spacing w:line="240" w:lineRule="auto"/>
              <w:contextualSpacing/>
              <w:jc w:val="center"/>
              <w:rPr>
                <w:i/>
                <w:iCs/>
                <w:lang w:eastAsia="zh-CN"/>
              </w:rPr>
            </w:pPr>
            <w:r w:rsidRPr="009B2CBD">
              <w:rPr>
                <w:i/>
                <w:iCs/>
                <w:lang w:eastAsia="zh-CN"/>
              </w:rPr>
              <w:t>Figure</w:t>
            </w:r>
            <w:r w:rsidRPr="009B2CBD">
              <w:rPr>
                <w:rFonts w:hint="eastAsia"/>
                <w:i/>
                <w:iCs/>
                <w:lang w:eastAsia="zh-CN"/>
              </w:rPr>
              <w:t xml:space="preserve"> </w:t>
            </w:r>
            <w:r w:rsidR="008C39F0" w:rsidRPr="009B2CBD">
              <w:rPr>
                <w:i/>
                <w:iCs/>
                <w:lang w:eastAsia="zh-CN"/>
              </w:rPr>
              <w:t>3</w:t>
            </w:r>
            <w:r w:rsidRPr="009B2CBD">
              <w:rPr>
                <w:i/>
                <w:iCs/>
                <w:lang w:eastAsia="zh-CN"/>
              </w:rPr>
              <w:t>: Manchester M</w:t>
            </w:r>
            <w:r w:rsidRPr="009B2CBD">
              <w:rPr>
                <w:rFonts w:hint="eastAsia"/>
                <w:i/>
                <w:iCs/>
                <w:lang w:eastAsia="zh-CN"/>
              </w:rPr>
              <w:t>edian</w:t>
            </w:r>
            <w:r w:rsidRPr="009B2CBD">
              <w:rPr>
                <w:i/>
                <w:iCs/>
                <w:lang w:eastAsia="zh-CN"/>
              </w:rPr>
              <w:t xml:space="preserve"> H</w:t>
            </w:r>
            <w:r w:rsidRPr="009B2CBD">
              <w:rPr>
                <w:rFonts w:hint="eastAsia"/>
                <w:i/>
                <w:iCs/>
                <w:lang w:eastAsia="zh-CN"/>
              </w:rPr>
              <w:t>ousehold</w:t>
            </w:r>
            <w:r w:rsidRPr="009B2CBD">
              <w:rPr>
                <w:i/>
                <w:iCs/>
                <w:lang w:eastAsia="zh-CN"/>
              </w:rPr>
              <w:t xml:space="preserve"> I</w:t>
            </w:r>
            <w:r w:rsidRPr="009B2CBD">
              <w:rPr>
                <w:rFonts w:hint="eastAsia"/>
                <w:i/>
                <w:iCs/>
                <w:lang w:eastAsia="zh-CN"/>
              </w:rPr>
              <w:t>ncome,</w:t>
            </w:r>
            <w:r w:rsidRPr="009B2CBD">
              <w:rPr>
                <w:i/>
                <w:iCs/>
                <w:lang w:eastAsia="zh-CN"/>
              </w:rPr>
              <w:t xml:space="preserve">2019 </w:t>
            </w:r>
            <w:r w:rsidRPr="009B2CBD">
              <w:rPr>
                <w:rFonts w:hint="eastAsia"/>
                <w:i/>
                <w:iCs/>
                <w:lang w:eastAsia="zh-CN"/>
              </w:rPr>
              <w:t>distribution</w:t>
            </w:r>
            <w:r w:rsidRPr="009B2CBD">
              <w:rPr>
                <w:i/>
                <w:iCs/>
                <w:lang w:eastAsia="zh-CN"/>
              </w:rPr>
              <w:t xml:space="preserve"> </w:t>
            </w:r>
            <w:r w:rsidRPr="009B2CBD">
              <w:rPr>
                <w:rFonts w:hint="eastAsia"/>
                <w:i/>
                <w:iCs/>
                <w:lang w:eastAsia="zh-CN"/>
              </w:rPr>
              <w:t>map</w:t>
            </w:r>
          </w:p>
          <w:p w14:paraId="29699076" w14:textId="0819E789" w:rsidR="00AA47F7" w:rsidRPr="00714987" w:rsidRDefault="00000000">
            <w:pPr>
              <w:pStyle w:val="13"/>
              <w:snapToGrid w:val="0"/>
              <w:spacing w:line="240" w:lineRule="auto"/>
              <w:contextualSpacing/>
              <w:jc w:val="center"/>
              <w:rPr>
                <w:szCs w:val="22"/>
              </w:rPr>
            </w:pPr>
            <w:r w:rsidRPr="009B2CBD">
              <w:rPr>
                <w:i/>
                <w:iCs/>
                <w:lang w:eastAsia="zh-CN"/>
              </w:rPr>
              <w:t>Data Source: UK government website</w:t>
            </w:r>
            <w:r w:rsidR="008C39F0" w:rsidRPr="009B2CBD">
              <w:rPr>
                <w:i/>
                <w:iCs/>
                <w:lang w:eastAsia="zh-CN"/>
              </w:rPr>
              <w:t>, GMCA Research</w:t>
            </w:r>
          </w:p>
        </w:tc>
      </w:tr>
    </w:tbl>
    <w:p w14:paraId="5EC6CCE5" w14:textId="77777777" w:rsidR="0059277B" w:rsidRPr="00714987" w:rsidRDefault="0059277B">
      <w:pPr>
        <w:rPr>
          <w:lang w:eastAsia="zh-CN"/>
        </w:rPr>
      </w:pPr>
    </w:p>
    <w:p w14:paraId="1A384F6A" w14:textId="54D18DCC" w:rsidR="00AA47F7" w:rsidRPr="00714987" w:rsidRDefault="00000000">
      <w:pPr>
        <w:pStyle w:val="1"/>
        <w:rPr>
          <w:szCs w:val="24"/>
        </w:rPr>
      </w:pPr>
      <w:r w:rsidRPr="00714987">
        <w:rPr>
          <w:szCs w:val="24"/>
        </w:rPr>
        <w:lastRenderedPageBreak/>
        <w:t xml:space="preserve">limitations of the </w:t>
      </w:r>
      <w:r w:rsidR="0059277B">
        <w:rPr>
          <w:szCs w:val="24"/>
        </w:rPr>
        <w:t>SUM</w:t>
      </w:r>
    </w:p>
    <w:p w14:paraId="7D4B5D70" w14:textId="77777777" w:rsidR="00AA47F7" w:rsidRPr="00714987" w:rsidRDefault="00000000">
      <w:pPr>
        <w:rPr>
          <w:lang w:eastAsia="zh-CN"/>
        </w:rPr>
      </w:pPr>
      <w:r w:rsidRPr="00714987">
        <w:rPr>
          <w:lang w:eastAsia="zh-CN"/>
        </w:rPr>
        <w:t xml:space="preserve">Firstly, the model structure is </w:t>
      </w:r>
      <w:proofErr w:type="gramStart"/>
      <w:r w:rsidRPr="00714987">
        <w:rPr>
          <w:lang w:eastAsia="zh-CN"/>
        </w:rPr>
        <w:t>simple</w:t>
      </w:r>
      <w:proofErr w:type="gramEnd"/>
      <w:r w:rsidRPr="00714987">
        <w:rPr>
          <w:lang w:eastAsia="zh-CN"/>
        </w:rPr>
        <w:t xml:space="preserve"> and its commuting structure does not take into account the impact of traffic congestion on land rents and values. </w:t>
      </w:r>
      <w:r w:rsidRPr="00714987">
        <w:rPr>
          <w:rFonts w:hint="eastAsia"/>
          <w:lang w:eastAsia="zh-CN"/>
        </w:rPr>
        <w:t>Due to the</w:t>
      </w:r>
      <w:r w:rsidRPr="00714987">
        <w:rPr>
          <w:lang w:eastAsia="zh-CN"/>
        </w:rPr>
        <w:t xml:space="preserve"> overcrowding in CBD, </w:t>
      </w:r>
      <w:r w:rsidRPr="00714987">
        <w:rPr>
          <w:rFonts w:hint="eastAsia"/>
          <w:lang w:val="en-US" w:eastAsia="zh-CN"/>
        </w:rPr>
        <w:t>it</w:t>
      </w:r>
      <w:r w:rsidRPr="00714987">
        <w:rPr>
          <w:lang w:eastAsia="zh-CN"/>
        </w:rPr>
        <w:t xml:space="preserve"> will inevitably </w:t>
      </w:r>
      <w:r w:rsidRPr="00714987">
        <w:rPr>
          <w:rFonts w:hint="eastAsia"/>
          <w:lang w:val="en-US" w:eastAsia="zh-CN"/>
        </w:rPr>
        <w:t>impact</w:t>
      </w:r>
      <w:r w:rsidRPr="00714987">
        <w:rPr>
          <w:lang w:eastAsia="zh-CN"/>
        </w:rPr>
        <w:t xml:space="preserve"> </w:t>
      </w:r>
      <w:r w:rsidRPr="00714987">
        <w:rPr>
          <w:rFonts w:hint="eastAsia"/>
          <w:lang w:val="en-US" w:eastAsia="zh-CN"/>
        </w:rPr>
        <w:t xml:space="preserve">its </w:t>
      </w:r>
      <w:r w:rsidRPr="00714987">
        <w:rPr>
          <w:lang w:eastAsia="zh-CN"/>
        </w:rPr>
        <w:t xml:space="preserve">land rents in the long </w:t>
      </w:r>
      <w:r w:rsidRPr="00714987">
        <w:rPr>
          <w:rFonts w:hint="eastAsia"/>
          <w:lang w:val="en-US" w:eastAsia="zh-CN"/>
        </w:rPr>
        <w:t>run</w:t>
      </w:r>
      <w:r w:rsidRPr="00714987">
        <w:rPr>
          <w:lang w:eastAsia="zh-CN"/>
        </w:rPr>
        <w:t xml:space="preserve"> </w:t>
      </w:r>
      <w:r w:rsidRPr="00714987">
        <w:rPr>
          <w:lang w:eastAsia="zh-CN"/>
        </w:rPr>
        <w:fldChar w:fldCharType="begin"/>
      </w:r>
      <w:r w:rsidRPr="00714987">
        <w:rPr>
          <w:lang w:eastAsia="zh-CN"/>
        </w:rPr>
        <w:instrText xml:space="preserve"> ADDIN ZOTERO_ITEM CSL_CITATION {"citationID":"hLTNCkMm","properties":{"formattedCitation":"(Cuberes, Roberts and Sechel, 2019; Liotta, Vigui\\uc0\\u233{} and Lepetit, 2022)","plainCitation":"(Cuberes, Roberts and Sechel, 2019; Liotta, Viguié and Lepetit, 2022)","noteIndex":0},"citationItems":[{"id":216,"uris":["http://zotero.org/users/10182289/items/3G6Q5EK5"],"itemData":{"id":216,"type":"article-journal","abstract":"This paper is the first to test an amenity-based sorting model for cities in England. We explore household location under both monocentric and polycentric assumptions about city structure. On average, we find no systematic relationship between income and household distance to the city centre. However, there are differences between cities, with a positive income-distance relationship in Birmingham and Leeds, and a negative relationship in Newcastle. Household heterogeneity is also important; for example, on average households with heads who are migrants live 25% closer to the centre than non-migrants. We also find that only the employed (and those above the poverty line) are influenced by the availability of public transport, which is in direct opposition to the US evidence.","container-title":"Regional Science and Urban Economics","DOI":"10.1016/j.regsciurbeco.2019.01.012","ISSN":"0166-0462","journalAbbreviation":"Regional Science and Urban Economics","language":"en","page":"120-135","source":"ScienceDirect","title":"Household location in English cities","volume":"75","author":[{"family":"Cuberes","given":"David"},{"family":"Roberts","given":"Jennifer"},{"family":"Sechel","given":"Cristina"}],"issued":{"date-parts":[["2019",3,1]]}}},{"id":180,"uris":["http://zotero.org/users/10182289/items/S2BWLJXA"],"itemData":{"id":180,"type":"article-journal","abstract":"Using a unique dataset containing gridded data on population densities, rents, housing sizes, and transportation in 192 cities worldwide, we investigate the empirical relevance of the monocentric standard urban model (SUM). Overall, the SUM seems surprisingly capable of capturing the inner structure of cities, both in developed and developing countries. As expected, cities spread out when they are richer, more populated, and when transportation or farmland is cheaper. Respectively 100% and 87% of the cities exhibit the expected negative density and rent gradients: on average, a 1% decrease in income net of transportation costs leads to a 21% decrease in densities and a 3% decrease in rents per m2. We also investigate the heterogeneity between cities of different characteristics in terms of monocentricity, informality, and amenities.","container-title":"Regional Science and Urban Economics","DOI":"10.1016/j.regsciurbeco.2022.103832","ISSN":"0166-0462","journalAbbreviation":"Regional Scienc</w:instrText>
      </w:r>
      <w:r w:rsidRPr="00714987">
        <w:rPr>
          <w:rFonts w:hint="eastAsia"/>
          <w:lang w:eastAsia="zh-CN"/>
        </w:rPr>
        <w:instrText>e and Urban Economics","language":"en","page":"103832","source":"ScienceDirect","title":"Testing the monocentric standard urban model in a global sample of cities","title-short":"</w:instrText>
      </w:r>
      <w:r w:rsidRPr="00714987">
        <w:rPr>
          <w:rFonts w:ascii="Segoe UI Emoji" w:hAnsi="Segoe UI Emoji" w:cs="Segoe UI Emoji"/>
          <w:lang w:eastAsia="zh-CN"/>
        </w:rPr>
        <w:instrText>🔤</w:instrText>
      </w:r>
      <w:r w:rsidRPr="00714987">
        <w:rPr>
          <w:rFonts w:hint="eastAsia"/>
          <w:lang w:eastAsia="zh-CN"/>
        </w:rPr>
        <w:instrText>在全球城市样本中测试单中心标准城市模型</w:instrText>
      </w:r>
      <w:r w:rsidRPr="00714987">
        <w:rPr>
          <w:rFonts w:hint="eastAsia"/>
          <w:lang w:eastAsia="zh-CN"/>
        </w:rPr>
        <w:instrText>","volume":"97","author":[{"family":"Liotta","given":"C</w:instrText>
      </w:r>
      <w:r w:rsidRPr="00714987">
        <w:rPr>
          <w:lang w:eastAsia="zh-CN"/>
        </w:rPr>
        <w:instrText xml:space="preserve">harlotte"},{"family":"Viguié","given":"Vincent"},{"family":"Lepetit","given":"Quentin"}],"issued":{"date-parts":[["2022",11,1]]}}}],"schema":"https://github.com/citation-style-language/schema/raw/master/csl-citation.json"} </w:instrText>
      </w:r>
      <w:r w:rsidRPr="00714987">
        <w:rPr>
          <w:lang w:eastAsia="zh-CN"/>
        </w:rPr>
        <w:fldChar w:fldCharType="separate"/>
      </w:r>
      <w:r w:rsidRPr="00714987">
        <w:rPr>
          <w:szCs w:val="24"/>
        </w:rPr>
        <w:t>(Cuberes, Roberts and Sechel, 2019; Liotta, Viguié and Lepetit, 2022)</w:t>
      </w:r>
      <w:r w:rsidRPr="00714987">
        <w:rPr>
          <w:lang w:eastAsia="zh-CN"/>
        </w:rPr>
        <w:fldChar w:fldCharType="end"/>
      </w:r>
      <w:r w:rsidRPr="00714987">
        <w:rPr>
          <w:rFonts w:hint="eastAsia"/>
          <w:lang w:eastAsia="zh-CN"/>
        </w:rPr>
        <w:t>.</w:t>
      </w:r>
    </w:p>
    <w:p w14:paraId="4F4C79EA" w14:textId="795435EF" w:rsidR="00AA47F7" w:rsidRPr="00714987" w:rsidRDefault="00000000">
      <w:pPr>
        <w:rPr>
          <w:lang w:eastAsia="zh-CN"/>
        </w:rPr>
      </w:pPr>
      <w:r w:rsidRPr="00714987">
        <w:rPr>
          <w:rFonts w:hint="eastAsia"/>
          <w:lang w:val="en-US" w:eastAsia="zh-CN"/>
        </w:rPr>
        <w:t>S</w:t>
      </w:r>
      <w:proofErr w:type="spellStart"/>
      <w:r w:rsidRPr="00714987">
        <w:rPr>
          <w:lang w:eastAsia="zh-CN"/>
        </w:rPr>
        <w:t>econd</w:t>
      </w:r>
      <w:r w:rsidRPr="00714987">
        <w:rPr>
          <w:rFonts w:hint="eastAsia"/>
          <w:lang w:val="en-US" w:eastAsia="zh-CN"/>
        </w:rPr>
        <w:t>ly</w:t>
      </w:r>
      <w:proofErr w:type="spellEnd"/>
      <w:r w:rsidRPr="00714987">
        <w:rPr>
          <w:rFonts w:hint="eastAsia"/>
          <w:lang w:val="en-US" w:eastAsia="zh-CN"/>
        </w:rPr>
        <w:t>,</w:t>
      </w:r>
      <w:r w:rsidRPr="00714987">
        <w:rPr>
          <w:lang w:eastAsia="zh-CN"/>
        </w:rPr>
        <w:t xml:space="preserve"> the model is too homogeneous </w:t>
      </w:r>
      <w:r w:rsidRPr="00714987">
        <w:rPr>
          <w:rFonts w:hint="eastAsia"/>
          <w:lang w:val="en-US" w:eastAsia="zh-CN"/>
        </w:rPr>
        <w:t>when</w:t>
      </w:r>
      <w:r w:rsidRPr="00714987">
        <w:rPr>
          <w:lang w:eastAsia="zh-CN"/>
        </w:rPr>
        <w:t xml:space="preserve"> consider</w:t>
      </w:r>
      <w:proofErr w:type="spellStart"/>
      <w:r w:rsidRPr="00714987">
        <w:rPr>
          <w:rFonts w:hint="eastAsia"/>
          <w:lang w:val="en-US" w:eastAsia="zh-CN"/>
        </w:rPr>
        <w:t>ing</w:t>
      </w:r>
      <w:proofErr w:type="spellEnd"/>
      <w:r w:rsidRPr="00714987">
        <w:rPr>
          <w:lang w:eastAsia="zh-CN"/>
        </w:rPr>
        <w:t xml:space="preserve"> </w:t>
      </w:r>
      <w:r w:rsidRPr="00714987">
        <w:rPr>
          <w:rFonts w:hint="eastAsia"/>
          <w:lang w:val="en-US" w:eastAsia="zh-CN"/>
        </w:rPr>
        <w:t>the</w:t>
      </w:r>
      <w:r w:rsidRPr="00714987">
        <w:rPr>
          <w:lang w:eastAsia="zh-CN"/>
        </w:rPr>
        <w:t xml:space="preserve"> factors affecting land rent, </w:t>
      </w:r>
      <w:r w:rsidRPr="00714987">
        <w:rPr>
          <w:rFonts w:hint="eastAsia"/>
          <w:lang w:val="en-US" w:eastAsia="zh-CN"/>
        </w:rPr>
        <w:t>furthermore,</w:t>
      </w:r>
      <w:r w:rsidRPr="00714987">
        <w:rPr>
          <w:lang w:eastAsia="zh-CN"/>
        </w:rPr>
        <w:t xml:space="preserve"> variables other than accessibility </w:t>
      </w:r>
      <w:r w:rsidRPr="00714987">
        <w:rPr>
          <w:rFonts w:hint="eastAsia"/>
          <w:lang w:eastAsia="zh-CN"/>
        </w:rPr>
        <w:t>are also prove</w:t>
      </w:r>
      <w:r w:rsidR="009945A3">
        <w:rPr>
          <w:lang w:eastAsia="zh-CN"/>
        </w:rPr>
        <w:t>n</w:t>
      </w:r>
      <w:r w:rsidRPr="00714987">
        <w:rPr>
          <w:lang w:eastAsia="zh-CN"/>
        </w:rPr>
        <w:t xml:space="preserve"> to affect land values</w:t>
      </w:r>
      <w:r w:rsidR="00714987" w:rsidRPr="00714987">
        <w:rPr>
          <w:lang w:eastAsia="zh-CN"/>
        </w:rPr>
        <w:fldChar w:fldCharType="begin"/>
      </w:r>
      <w:r w:rsidR="00714987" w:rsidRPr="00714987">
        <w:rPr>
          <w:lang w:eastAsia="zh-CN"/>
        </w:rPr>
        <w:instrText xml:space="preserve"> ADDIN ZOTERO_ITEM CSL_CITATION {"citationID":"3PQvVj99","properties":{"formattedCitation":"(Hamilton and R\\uc0\\u246{}ell, 1982; Blackley and Follain, 1987)","plainCitation":"(Hamilton and Röell, 1982; Blackley and Follain, 1987)","noteIndex":0},"citationItems":[{"id":299,"uris":["http://zotero.org/users/10182289/items/GZ4NR7GM"],"itemData":{"id":299,"type":"article-journal","abstract":"In this paper I examine the ability of the monocentric models to predict the mean length of commute in urban areas. I compare actual mean commute with that which is predicted by monocentric models and find that actual commuting distance is about eight times greater than that predicted by the model. Next I calculate the volume of commuting which would result if people chose their houses and jobs at random, making no effort to economize on commuting. This overpredicts actual commuting by about 25 percent.","archive_location":"world","container-title":"Journal of Political Economy","DOI":"10.1086/261107","ISSN":"0022-3808","language":"en","license":"Copyright 1982 The University of Chicago","note":"publisher: The University of Chicago Press","source":"www.journals.uchicago.edu","title":"Wasteful Commuting","URL":"https://www.journals.uchicago.edu/doi/10.1086/261107","author":[{"family":"Hamilton","given":"Bruce W."},{"family":"Röell","given":"Ailsa"}],"accessed":{"date-parts":[["2022",11,5]]},"issued":{"date-parts":[["1982",10,1]]}}},{"id":295,"uris":["http://zotero.org/users/10182289/items/ZI65R2KX"],"itemData":{"id":295,"type":"article-journal","container-title":"Land Economics","DOI":"10.2307/3146655","ISSN":"0023-7639","issue":"1","note":"publisher: [Board of Regents of the University of Wisconsin System, University of Wisconsin Press]","page":"46-61","source":"JSTOR","title":"Tests of Locational Equilibrium in the Standard Urban Model","volume":"63","author":[{"family":"Blackley","given":"Dixie M."},{"family":"Follain","given":"James R."}],"issued":{"date-parts":[["1987"]]}},"label":"page"}],"schema":"https://github.com/citation-style-language/schema/raw/master/csl-citation.json"} </w:instrText>
      </w:r>
      <w:r w:rsidR="00714987" w:rsidRPr="00714987">
        <w:rPr>
          <w:lang w:eastAsia="zh-CN"/>
        </w:rPr>
        <w:fldChar w:fldCharType="separate"/>
      </w:r>
      <w:r w:rsidR="00714987" w:rsidRPr="00714987">
        <w:rPr>
          <w:szCs w:val="24"/>
        </w:rPr>
        <w:t>(Hamilton and Röell, 1982; Blackley and Follain, 1987)</w:t>
      </w:r>
      <w:r w:rsidR="00714987" w:rsidRPr="00714987">
        <w:rPr>
          <w:lang w:eastAsia="zh-CN"/>
        </w:rPr>
        <w:fldChar w:fldCharType="end"/>
      </w:r>
      <w:r w:rsidRPr="00714987">
        <w:rPr>
          <w:lang w:eastAsia="zh-CN"/>
        </w:rPr>
        <w:t>. As can be seen in the previous analysis, some south</w:t>
      </w:r>
      <w:r w:rsidRPr="00714987">
        <w:rPr>
          <w:rFonts w:hint="eastAsia"/>
          <w:lang w:val="en-US" w:eastAsia="zh-CN"/>
        </w:rPr>
        <w:t>ern</w:t>
      </w:r>
      <w:r w:rsidRPr="00714987">
        <w:rPr>
          <w:lang w:eastAsia="zh-CN"/>
        </w:rPr>
        <w:t xml:space="preserve"> areas</w:t>
      </w:r>
      <w:r w:rsidRPr="00714987">
        <w:rPr>
          <w:rFonts w:hint="eastAsia"/>
          <w:lang w:val="en-US" w:eastAsia="zh-CN"/>
        </w:rPr>
        <w:t xml:space="preserve"> </w:t>
      </w:r>
      <w:r w:rsidRPr="00714987">
        <w:rPr>
          <w:lang w:eastAsia="zh-CN"/>
        </w:rPr>
        <w:t>of the city have high rent</w:t>
      </w:r>
      <w:proofErr w:type="spellStart"/>
      <w:r w:rsidRPr="00714987">
        <w:rPr>
          <w:rFonts w:hint="eastAsia"/>
          <w:lang w:val="en-US" w:eastAsia="zh-CN"/>
        </w:rPr>
        <w:t>ing</w:t>
      </w:r>
      <w:proofErr w:type="spellEnd"/>
      <w:r w:rsidRPr="00714987">
        <w:rPr>
          <w:lang w:eastAsia="zh-CN"/>
        </w:rPr>
        <w:t xml:space="preserve"> prices</w:t>
      </w:r>
      <w:r w:rsidRPr="00714987">
        <w:rPr>
          <w:rFonts w:hint="eastAsia"/>
          <w:lang w:val="en-US" w:eastAsia="zh-CN"/>
        </w:rPr>
        <w:t xml:space="preserve"> of land</w:t>
      </w:r>
      <w:r w:rsidRPr="00714987">
        <w:rPr>
          <w:lang w:eastAsia="zh-CN"/>
        </w:rPr>
        <w:t xml:space="preserve">, </w:t>
      </w:r>
      <w:r w:rsidRPr="00714987">
        <w:rPr>
          <w:rFonts w:hint="eastAsia"/>
          <w:lang w:val="en-US" w:eastAsia="zh-CN"/>
        </w:rPr>
        <w:t>p</w:t>
      </w:r>
      <w:proofErr w:type="spellStart"/>
      <w:r w:rsidRPr="00714987">
        <w:rPr>
          <w:lang w:eastAsia="zh-CN"/>
        </w:rPr>
        <w:t>erhaps</w:t>
      </w:r>
      <w:proofErr w:type="spellEnd"/>
      <w:r w:rsidRPr="00714987">
        <w:rPr>
          <w:lang w:eastAsia="zh-CN"/>
        </w:rPr>
        <w:t xml:space="preserve"> it</w:t>
      </w:r>
      <w:r w:rsidRPr="00714987">
        <w:rPr>
          <w:lang w:val="en-US" w:eastAsia="zh-CN"/>
        </w:rPr>
        <w:t>’</w:t>
      </w:r>
      <w:r w:rsidRPr="00714987">
        <w:rPr>
          <w:rFonts w:hint="eastAsia"/>
          <w:lang w:val="en-US" w:eastAsia="zh-CN"/>
        </w:rPr>
        <w:t>s the result</w:t>
      </w:r>
      <w:r w:rsidRPr="00714987">
        <w:rPr>
          <w:lang w:eastAsia="zh-CN"/>
        </w:rPr>
        <w:t xml:space="preserve"> of the convenient infrastructure around the area</w:t>
      </w:r>
      <w:r w:rsidRPr="00714987">
        <w:rPr>
          <w:rFonts w:hint="eastAsia"/>
          <w:lang w:val="en-US" w:eastAsia="zh-CN"/>
        </w:rPr>
        <w:t xml:space="preserve"> </w:t>
      </w:r>
      <w:r w:rsidRPr="00714987">
        <w:rPr>
          <w:lang w:eastAsia="zh-CN"/>
        </w:rPr>
        <w:t xml:space="preserve">or the picturesque surroundings. Cheshire's study found opposite rent gradients in Reading and Darlington, UK as well </w:t>
      </w:r>
      <w:r w:rsidRPr="00714987">
        <w:rPr>
          <w:lang w:eastAsia="zh-CN"/>
        </w:rPr>
        <w:fldChar w:fldCharType="begin"/>
      </w:r>
      <w:r w:rsidRPr="00714987">
        <w:rPr>
          <w:lang w:eastAsia="zh-CN"/>
        </w:rPr>
        <w:instrText xml:space="preserve"> ADDIN ZOTERO_ITEM CSL_CITATION {"citationID":"677m6an6","properties":{"formattedCitation":"(Cheshire and Sheppard, 1995)","plainCitation":"(Cheshire and Sheppard, 1995)","noteIndex":0},"citationItems":[{"id":279,"uris":["http://zotero.org/users/10182289/items/7JZRDMVI"],"itemData":{"id":279,"type":"article-journal","abstract":"A house represents not only a bundle of structural characteristics but also a set of location specific characteristics. Adding locational coordinates and site area to other house characteristics makes it possible to estimate a land rent surface as well as the hedonic prices attached to local patterns of land use and other neighbourhood characteristics. One can then estimate how the value of such location-specific characteristics are capitalized into land prices. This analysis, illustrated with estimates based on data from two British towns, has a number of wider implications. It generates a more parsimonious method of estimating amenity values. It also reveals likely systematic biases produced by conventional hedonic studies which exclude land and location. Finally, it clarifies the conceptual definition of land and suggests that monocentric models can perform well despite recent criticism.","container-title":"Economica","DOI":"10.2307/2554906","ISSN":"0013-0427","issue":"246","note":"publisher: [London School of Economics, Wiley, London School of Economics and Political Science, Suntory and Toyota International Centres for Economics and Related Disciplines]","page":"247-267","source":"JSTOR","title":"On the Price of Land and the Value of Amenities","volume":"62","author":[{"family":"Cheshire","given":"Paul"},{"family":"Sheppard","given":"Stephen"}],"issued":{"date-parts":[["1995"]]}}}],"schema":"https://github.com/citation-style-language/schema/raw/master/csl-citation.json"} </w:instrText>
      </w:r>
      <w:r w:rsidRPr="00714987">
        <w:rPr>
          <w:lang w:eastAsia="zh-CN"/>
        </w:rPr>
        <w:fldChar w:fldCharType="separate"/>
      </w:r>
      <w:r w:rsidRPr="00714987">
        <w:rPr>
          <w:lang w:eastAsia="zh-CN"/>
        </w:rPr>
        <w:t>(Cheshire and Sheppard, 1995)</w:t>
      </w:r>
      <w:r w:rsidRPr="00714987">
        <w:rPr>
          <w:lang w:eastAsia="zh-CN"/>
        </w:rPr>
        <w:fldChar w:fldCharType="end"/>
      </w:r>
      <w:r w:rsidRPr="00714987">
        <w:rPr>
          <w:rFonts w:hint="eastAsia"/>
          <w:lang w:eastAsia="zh-CN"/>
        </w:rPr>
        <w:t>.</w:t>
      </w:r>
      <w:r w:rsidRPr="00714987">
        <w:rPr>
          <w:rFonts w:hint="eastAsia"/>
          <w:lang w:val="en-US" w:eastAsia="zh-CN"/>
        </w:rPr>
        <w:t xml:space="preserve"> </w:t>
      </w:r>
      <w:r w:rsidRPr="00714987">
        <w:rPr>
          <w:rFonts w:hint="eastAsia"/>
          <w:lang w:eastAsia="zh-CN"/>
        </w:rPr>
        <w:t>A large number of</w:t>
      </w:r>
      <w:r w:rsidRPr="00714987">
        <w:rPr>
          <w:lang w:eastAsia="zh-CN"/>
        </w:rPr>
        <w:t xml:space="preserve"> analyses have shown that amenities </w:t>
      </w:r>
      <w:r w:rsidR="00322B5C">
        <w:rPr>
          <w:lang w:eastAsia="zh-CN"/>
        </w:rPr>
        <w:t>near close</w:t>
      </w:r>
      <w:r w:rsidRPr="00714987">
        <w:rPr>
          <w:lang w:eastAsia="zh-CN"/>
        </w:rPr>
        <w:t xml:space="preserve"> to residential areas play a key role in </w:t>
      </w:r>
      <w:r w:rsidRPr="00714987">
        <w:rPr>
          <w:rFonts w:hint="eastAsia"/>
          <w:lang w:eastAsia="zh-CN"/>
        </w:rPr>
        <w:t>affecting</w:t>
      </w:r>
      <w:r w:rsidRPr="00714987">
        <w:rPr>
          <w:lang w:eastAsia="zh-CN"/>
        </w:rPr>
        <w:t xml:space="preserve"> land prices, even if </w:t>
      </w:r>
      <w:r w:rsidRPr="00714987">
        <w:rPr>
          <w:rFonts w:hint="eastAsia"/>
          <w:lang w:val="en-US" w:eastAsia="zh-CN"/>
        </w:rPr>
        <w:t>they are</w:t>
      </w:r>
      <w:r w:rsidRPr="00714987">
        <w:rPr>
          <w:lang w:eastAsia="zh-CN"/>
        </w:rPr>
        <w:t xml:space="preserve"> far from the city centre </w:t>
      </w:r>
      <w:r w:rsidRPr="00714987">
        <w:rPr>
          <w:lang w:eastAsia="zh-CN"/>
        </w:rPr>
        <w:fldChar w:fldCharType="begin"/>
      </w:r>
      <w:r w:rsidRPr="00714987">
        <w:rPr>
          <w:lang w:eastAsia="zh-CN"/>
        </w:rPr>
        <w:instrText xml:space="preserve"> ADDIN ZOTERO_ITEM CSL_CITATION {"citationID":"Fqg5v0Zs","properties":{"formattedCitation":"(Glaeser, Kahn and Rappaport, 2008)","plainCitation":"(Glaeser, Kahn and Rappaport, 2008)","noteIndex":0},"citationItems":[{"id":283,"uris":["http://zotero.org/users/10182289/items/4VFY7PY9"],"itemData":{"id":283,"type":"article-journal","abstract":"More than 19 percent of people in American central cities are poor. In suburbs, just 7.5 percent of people live in poverty. The income elasticity of demand for land is too low for urban poverty to come from wealthy individuals' wanting to live where land is cheap (the traditional explanation of urban poverty). A significant income elasticity for land exists only because the rich eschew apartment living, and that elasticity is still too low to explain the poor's urbanization. The urbanization of poverty comes mainly from better access to public transportation in central cities.","container-title":"Journal of Urban Economics","DOI":"10.1016/j.jue.2006.12.004","ISSN":"0094-1190","issue":"1","journalAbbreviation":"Journal of Urban Economics","language":"en","page":"1-24","source":"ScienceDirect","title":"Why do the poor live in cities? The role of public transportation","title-short":"Why do the poor live in cities?","volume":"63","author":[{"family":"Glaeser","given":"Edward L."},{"family":"Kahn","given":"Matthew E."},{"family":"Rappaport","given":"Jordan"}],"issued":{"date-parts":[["2008",1,1]]}}}],"schema":"https://github.com/citation-style-language/schema/raw/master/csl-citation.json"} </w:instrText>
      </w:r>
      <w:r w:rsidRPr="00714987">
        <w:rPr>
          <w:lang w:eastAsia="zh-CN"/>
        </w:rPr>
        <w:fldChar w:fldCharType="separate"/>
      </w:r>
      <w:r w:rsidRPr="00714987">
        <w:rPr>
          <w:lang w:eastAsia="zh-CN"/>
        </w:rPr>
        <w:t>(Glaeser, Kahn and Rappaport, 2008)</w:t>
      </w:r>
      <w:r w:rsidRPr="00714987">
        <w:rPr>
          <w:lang w:eastAsia="zh-CN"/>
        </w:rPr>
        <w:fldChar w:fldCharType="end"/>
      </w:r>
      <w:r w:rsidRPr="00714987">
        <w:rPr>
          <w:rFonts w:hint="eastAsia"/>
          <w:lang w:eastAsia="zh-CN"/>
        </w:rPr>
        <w:t>.</w:t>
      </w:r>
    </w:p>
    <w:p w14:paraId="43EDD2F6" w14:textId="3BC190BC" w:rsidR="00AA47F7" w:rsidRPr="00714987" w:rsidRDefault="00000000">
      <w:pPr>
        <w:rPr>
          <w:lang w:eastAsia="zh-CN"/>
        </w:rPr>
      </w:pPr>
      <w:r w:rsidRPr="00714987">
        <w:rPr>
          <w:lang w:eastAsia="zh-CN"/>
        </w:rPr>
        <w:t>Third</w:t>
      </w:r>
      <w:proofErr w:type="spellStart"/>
      <w:r w:rsidRPr="00714987">
        <w:rPr>
          <w:rFonts w:hint="eastAsia"/>
          <w:lang w:val="en-US" w:eastAsia="zh-CN"/>
        </w:rPr>
        <w:t>ly</w:t>
      </w:r>
      <w:proofErr w:type="spellEnd"/>
      <w:r w:rsidRPr="00714987">
        <w:rPr>
          <w:rFonts w:hint="eastAsia"/>
          <w:lang w:val="en-US" w:eastAsia="zh-CN"/>
        </w:rPr>
        <w:t>,</w:t>
      </w:r>
      <w:r w:rsidRPr="00714987">
        <w:rPr>
          <w:lang w:eastAsia="zh-CN"/>
        </w:rPr>
        <w:t xml:space="preserve"> </w:t>
      </w:r>
      <w:r w:rsidRPr="00714987">
        <w:rPr>
          <w:rFonts w:hint="eastAsia"/>
          <w:lang w:val="en-US" w:eastAsia="zh-CN"/>
        </w:rPr>
        <w:t>trying to figure out</w:t>
      </w:r>
      <w:r w:rsidRPr="00714987">
        <w:rPr>
          <w:lang w:eastAsia="zh-CN"/>
        </w:rPr>
        <w:t xml:space="preserve"> the attributes of households in the city</w:t>
      </w:r>
      <w:r w:rsidRPr="00714987">
        <w:rPr>
          <w:rFonts w:hint="eastAsia"/>
          <w:lang w:val="en-US" w:eastAsia="zh-CN"/>
        </w:rPr>
        <w:t xml:space="preserve"> </w:t>
      </w:r>
      <w:r w:rsidRPr="00714987">
        <w:rPr>
          <w:lang w:eastAsia="zh-CN"/>
        </w:rPr>
        <w:t>is too homogeneous and idealistic, the real</w:t>
      </w:r>
      <w:r w:rsidRPr="00714987">
        <w:rPr>
          <w:rFonts w:hint="eastAsia"/>
          <w:lang w:val="en-US" w:eastAsia="zh-CN"/>
        </w:rPr>
        <w:t xml:space="preserve"> situation</w:t>
      </w:r>
      <w:r w:rsidRPr="00714987">
        <w:rPr>
          <w:lang w:eastAsia="zh-CN"/>
        </w:rPr>
        <w:t xml:space="preserve"> is much more complex than the model</w:t>
      </w:r>
      <w:r w:rsidRPr="00714987">
        <w:rPr>
          <w:rFonts w:hint="eastAsia"/>
          <w:lang w:val="en-US" w:eastAsia="zh-CN"/>
        </w:rPr>
        <w:t>,</w:t>
      </w:r>
      <w:r w:rsidRPr="00714987">
        <w:rPr>
          <w:lang w:eastAsia="zh-CN"/>
        </w:rPr>
        <w:t xml:space="preserve"> and each household has different price and cost sensitivities, </w:t>
      </w:r>
      <w:r w:rsidRPr="00714987">
        <w:rPr>
          <w:rFonts w:hint="eastAsia"/>
          <w:lang w:eastAsia="zh-CN"/>
        </w:rPr>
        <w:t>which lead</w:t>
      </w:r>
      <w:r w:rsidR="00322B5C">
        <w:rPr>
          <w:lang w:eastAsia="zh-CN"/>
        </w:rPr>
        <w:t>s</w:t>
      </w:r>
      <w:r w:rsidRPr="00714987">
        <w:rPr>
          <w:rFonts w:hint="eastAsia"/>
          <w:lang w:eastAsia="zh-CN"/>
        </w:rPr>
        <w:t xml:space="preserve"> to </w:t>
      </w:r>
      <w:r w:rsidRPr="00714987">
        <w:rPr>
          <w:rFonts w:hint="eastAsia"/>
          <w:lang w:val="en-US" w:eastAsia="zh-CN"/>
        </w:rPr>
        <w:t>a phenomenon that</w:t>
      </w:r>
      <w:r w:rsidRPr="00714987">
        <w:rPr>
          <w:lang w:eastAsia="zh-CN"/>
        </w:rPr>
        <w:t xml:space="preserve"> some low</w:t>
      </w:r>
      <w:r w:rsidRPr="00714987">
        <w:rPr>
          <w:rFonts w:hint="eastAsia"/>
          <w:lang w:val="en-US" w:eastAsia="zh-CN"/>
        </w:rPr>
        <w:t>-</w:t>
      </w:r>
      <w:r w:rsidRPr="00714987">
        <w:rPr>
          <w:lang w:eastAsia="zh-CN"/>
        </w:rPr>
        <w:t xml:space="preserve">income groups </w:t>
      </w:r>
      <w:r w:rsidRPr="00714987">
        <w:rPr>
          <w:rFonts w:hint="eastAsia"/>
          <w:lang w:eastAsia="zh-CN"/>
        </w:rPr>
        <w:t>are willing</w:t>
      </w:r>
      <w:r w:rsidRPr="00714987">
        <w:rPr>
          <w:lang w:eastAsia="zh-CN"/>
        </w:rPr>
        <w:t xml:space="preserve"> to spend high commuting costs to live in a better area far from the city centre </w:t>
      </w:r>
      <w:r w:rsidRPr="00714987">
        <w:rPr>
          <w:lang w:eastAsia="zh-CN"/>
        </w:rPr>
        <w:fldChar w:fldCharType="begin"/>
      </w:r>
      <w:r w:rsidRPr="00714987">
        <w:rPr>
          <w:lang w:eastAsia="zh-CN"/>
        </w:rPr>
        <w:instrText xml:space="preserve"> ADDIN ZOTERO_ITEM CSL_CITATION {"citationID":"O7X46k8n","properties":{"formattedCitation":"(Brueckner, Thisse and Zenou, 1999)","plainCitation":"(Brueckner, Thisse and Zenou, 1999)","noteIndex":0},"citationItems":[{"id":260,"uris":["http://zotero.org/users/10182289/items/LAD6GG8I"],"itemData":{"id":260,"type":"article-journal","abstract":"This paper presents an amenity-based theory of location by income. The theory shows that the relative location of different income groups depends on the spatial pattern of amenities in a city. When the center has a strong amenity advantage over the suburbs, the rich are likely to live at central locations. When the center's amenity advantage is weak or negative, the rich are likely to live in the suburbs. The virtue of the theory is that it ties location by income to a city's idiosyncratic characteristics. It thus predicts a multiplicity of location patterns across cities, consistent with real-world observation.","container-title":"European Economic Review","DOI":"10.1016/S0014-2921(98)00019-1","ISSN":"0014-2921","issue":"1","journalAbbreviation":"European Economic Review","language":"en","page":"91-107","source":"ScienceDirect","title":"Why is central Paris rich and downtown Detroit poor?: An amenity-based theory","title-short":"Why is central Paris rich and downtown Detroit poor?","volume":"43","author":[{"family":"Brueckner","given":"Jan K."},{"family":"Thisse","given":"Jacques-François"},{"family":"Zenou","given":"Yves"}],"issued":{"date-parts":[["1999",1,10]]}}}],"schema":"https://github.com/citation-style-language/schema/raw/master/csl-citation.json"} </w:instrText>
      </w:r>
      <w:r w:rsidRPr="00714987">
        <w:rPr>
          <w:lang w:eastAsia="zh-CN"/>
        </w:rPr>
        <w:fldChar w:fldCharType="separate"/>
      </w:r>
      <w:r w:rsidRPr="00714987">
        <w:rPr>
          <w:lang w:eastAsia="zh-CN"/>
        </w:rPr>
        <w:t>(Brueckner, Thisse and Zenou, 1999)</w:t>
      </w:r>
      <w:r w:rsidRPr="00714987">
        <w:rPr>
          <w:lang w:eastAsia="zh-CN"/>
        </w:rPr>
        <w:fldChar w:fldCharType="end"/>
      </w:r>
      <w:r w:rsidRPr="00714987">
        <w:rPr>
          <w:rFonts w:hint="eastAsia"/>
          <w:lang w:eastAsia="zh-CN"/>
        </w:rPr>
        <w:t>,</w:t>
      </w:r>
      <w:r w:rsidRPr="00714987">
        <w:rPr>
          <w:lang w:eastAsia="zh-CN"/>
        </w:rPr>
        <w:t xml:space="preserve"> This affects the accuracy of the Bid-rent model</w:t>
      </w:r>
      <w:r w:rsidRPr="00714987">
        <w:rPr>
          <w:rFonts w:hint="eastAsia"/>
          <w:lang w:val="en-US" w:eastAsia="zh-CN"/>
        </w:rPr>
        <w:t xml:space="preserve"> to a certain extent</w:t>
      </w:r>
      <w:r w:rsidRPr="00714987">
        <w:rPr>
          <w:lang w:eastAsia="zh-CN"/>
        </w:rPr>
        <w:t>.</w:t>
      </w:r>
    </w:p>
    <w:p w14:paraId="15C2EFC0" w14:textId="77777777" w:rsidR="00AA47F7" w:rsidRPr="00714987" w:rsidRDefault="00000000">
      <w:pPr>
        <w:pStyle w:val="1"/>
        <w:rPr>
          <w:szCs w:val="24"/>
        </w:rPr>
      </w:pPr>
      <w:r w:rsidRPr="00714987">
        <w:rPr>
          <w:szCs w:val="24"/>
        </w:rPr>
        <w:t>Conclusion</w:t>
      </w:r>
    </w:p>
    <w:p w14:paraId="75493FF6" w14:textId="55814978" w:rsidR="00AA47F7" w:rsidRPr="00714987" w:rsidRDefault="00000000">
      <w:pPr>
        <w:rPr>
          <w:lang w:eastAsia="zh-CN"/>
        </w:rPr>
      </w:pPr>
      <w:r w:rsidRPr="00714987">
        <w:rPr>
          <w:rFonts w:hint="eastAsia"/>
          <w:lang w:val="en-US" w:eastAsia="zh-CN"/>
        </w:rPr>
        <w:t>It</w:t>
      </w:r>
      <w:r w:rsidRPr="00714987">
        <w:rPr>
          <w:lang w:val="en-US" w:eastAsia="zh-CN"/>
        </w:rPr>
        <w:t>’</w:t>
      </w:r>
      <w:r w:rsidRPr="00714987">
        <w:rPr>
          <w:rFonts w:hint="eastAsia"/>
          <w:lang w:val="en-US" w:eastAsia="zh-CN"/>
        </w:rPr>
        <w:t xml:space="preserve">s fair to say that </w:t>
      </w:r>
      <w:r w:rsidRPr="00714987">
        <w:rPr>
          <w:lang w:eastAsia="zh-CN"/>
        </w:rPr>
        <w:t>Manchester is generally consistent with the USM theory, but</w:t>
      </w:r>
      <w:r w:rsidRPr="00714987">
        <w:rPr>
          <w:rFonts w:hint="eastAsia"/>
          <w:lang w:val="en-US" w:eastAsia="zh-CN"/>
        </w:rPr>
        <w:t xml:space="preserve"> it</w:t>
      </w:r>
      <w:r w:rsidRPr="00714987">
        <w:rPr>
          <w:lang w:val="en-US" w:eastAsia="zh-CN"/>
        </w:rPr>
        <w:t>’</w:t>
      </w:r>
      <w:r w:rsidRPr="00714987">
        <w:rPr>
          <w:rFonts w:hint="eastAsia"/>
          <w:lang w:val="en-US" w:eastAsia="zh-CN"/>
        </w:rPr>
        <w:t>s found that</w:t>
      </w:r>
      <w:r w:rsidRPr="00714987">
        <w:rPr>
          <w:lang w:eastAsia="zh-CN"/>
        </w:rPr>
        <w:t xml:space="preserve"> the relationship between residential </w:t>
      </w:r>
      <w:proofErr w:type="spellStart"/>
      <w:r w:rsidRPr="00714987">
        <w:rPr>
          <w:lang w:eastAsia="zh-CN"/>
        </w:rPr>
        <w:t>hous</w:t>
      </w:r>
      <w:r w:rsidRPr="00714987">
        <w:rPr>
          <w:rFonts w:hint="eastAsia"/>
          <w:lang w:val="en-US" w:eastAsia="zh-CN"/>
        </w:rPr>
        <w:t>ing</w:t>
      </w:r>
      <w:proofErr w:type="spellEnd"/>
      <w:r w:rsidRPr="00714987">
        <w:rPr>
          <w:lang w:eastAsia="zh-CN"/>
        </w:rPr>
        <w:t xml:space="preserve"> prices and distance to the city centre is at odds with the model's Bid-rent curve</w:t>
      </w:r>
      <w:r w:rsidRPr="00714987">
        <w:rPr>
          <w:rFonts w:hint="eastAsia"/>
          <w:lang w:val="en-US" w:eastAsia="zh-CN"/>
        </w:rPr>
        <w:t xml:space="preserve"> in some areas</w:t>
      </w:r>
      <w:r w:rsidRPr="00714987">
        <w:rPr>
          <w:lang w:eastAsia="zh-CN"/>
        </w:rPr>
        <w:t xml:space="preserve">, </w:t>
      </w:r>
      <w:r w:rsidRPr="00714987">
        <w:rPr>
          <w:rFonts w:hint="eastAsia"/>
          <w:lang w:val="en-US" w:eastAsia="zh-CN"/>
        </w:rPr>
        <w:t xml:space="preserve">a fact </w:t>
      </w:r>
      <w:r w:rsidR="00322B5C">
        <w:rPr>
          <w:lang w:val="en-US" w:eastAsia="zh-CN"/>
        </w:rPr>
        <w:t xml:space="preserve">that </w:t>
      </w:r>
      <w:r w:rsidRPr="00714987">
        <w:rPr>
          <w:lang w:eastAsia="zh-CN"/>
        </w:rPr>
        <w:t>suggest</w:t>
      </w:r>
      <w:r w:rsidRPr="00714987">
        <w:rPr>
          <w:rFonts w:hint="eastAsia"/>
          <w:lang w:val="en-US" w:eastAsia="zh-CN"/>
        </w:rPr>
        <w:t>s</w:t>
      </w:r>
      <w:r w:rsidRPr="00714987">
        <w:rPr>
          <w:lang w:eastAsia="zh-CN"/>
        </w:rPr>
        <w:t xml:space="preserve"> that the factors </w:t>
      </w:r>
      <w:r w:rsidRPr="00714987">
        <w:rPr>
          <w:rFonts w:hint="eastAsia"/>
          <w:lang w:val="en-US" w:eastAsia="zh-CN"/>
        </w:rPr>
        <w:t xml:space="preserve">certainly </w:t>
      </w:r>
      <w:r w:rsidRPr="00714987">
        <w:rPr>
          <w:lang w:eastAsia="zh-CN"/>
        </w:rPr>
        <w:t>affect land rents and land prices are complex and multifaceted</w:t>
      </w:r>
      <w:r w:rsidRPr="00714987">
        <w:rPr>
          <w:rFonts w:hint="eastAsia"/>
          <w:lang w:val="en-US" w:eastAsia="zh-CN"/>
        </w:rPr>
        <w:t xml:space="preserve"> at </w:t>
      </w:r>
      <w:r w:rsidR="00714987" w:rsidRPr="00714987">
        <w:rPr>
          <w:lang w:val="en-US" w:eastAsia="zh-CN"/>
        </w:rPr>
        <w:t>today's society</w:t>
      </w:r>
      <w:r w:rsidR="00426D61" w:rsidRPr="00714987">
        <w:fldChar w:fldCharType="begin"/>
      </w:r>
      <w:r w:rsidR="00426D61" w:rsidRPr="00714987">
        <w:instrText xml:space="preserve"> ADDIN ZOTERO_ITEM CSL_CITATION {"citationID":"D9X8nmIj","properties":{"formattedCitation":"(Blackley and Follain, 1987)","plainCitation":"(Blackley and Follain, 1987)","noteIndex":0},"citationItems":[{"id":295,"uris":["http://zotero.org/users/10182289/items/ZI65R2KX"],"itemData":{"id":295,"type":"article-journal","container-title":"Land Economics","DOI":"10.2307/3146655","ISSN":"0023-7639","issue":"1","note":"publisher: [Board of Regents of the University of Wisconsin System, University of Wisconsin Press]","page":"46-61","source":"JSTOR","title":"Tests of Locational Equilibrium in the Standard Urban Model","volume":"63","author":[{"family":"Blackley","given":"Dixie M."},{"family":"Follain","given":"James R."}],"issued":{"date-parts":[["1987"]]}}}],"schema":"https://github.com/citation-style-language/schema/raw/master/csl-citation.json"} </w:instrText>
      </w:r>
      <w:r w:rsidR="00426D61" w:rsidRPr="00714987">
        <w:fldChar w:fldCharType="separate"/>
      </w:r>
      <w:r w:rsidR="00426D61" w:rsidRPr="00714987">
        <w:t xml:space="preserve">(Blackley and </w:t>
      </w:r>
      <w:proofErr w:type="spellStart"/>
      <w:r w:rsidR="00426D61" w:rsidRPr="00714987">
        <w:t>Follain</w:t>
      </w:r>
      <w:proofErr w:type="spellEnd"/>
      <w:r w:rsidR="00426D61" w:rsidRPr="00714987">
        <w:t>, 1987)</w:t>
      </w:r>
      <w:r w:rsidR="00426D61" w:rsidRPr="00714987">
        <w:fldChar w:fldCharType="end"/>
      </w:r>
      <w:r w:rsidRPr="00714987">
        <w:rPr>
          <w:rFonts w:hint="eastAsia"/>
          <w:lang w:val="en-US" w:eastAsia="zh-CN"/>
        </w:rPr>
        <w:t>. However,</w:t>
      </w:r>
      <w:r w:rsidRPr="00714987">
        <w:rPr>
          <w:lang w:eastAsia="zh-CN"/>
        </w:rPr>
        <w:t xml:space="preserve"> the USM model can only partially explain </w:t>
      </w:r>
      <w:r w:rsidRPr="00714987">
        <w:rPr>
          <w:rFonts w:hint="eastAsia"/>
          <w:lang w:val="en-US" w:eastAsia="zh-CN"/>
        </w:rPr>
        <w:t xml:space="preserve">the </w:t>
      </w:r>
      <w:r w:rsidRPr="00714987">
        <w:rPr>
          <w:lang w:eastAsia="zh-CN"/>
        </w:rPr>
        <w:t>factors</w:t>
      </w:r>
      <w:r w:rsidRPr="00714987">
        <w:rPr>
          <w:rFonts w:hint="eastAsia"/>
          <w:lang w:val="en-US" w:eastAsia="zh-CN"/>
        </w:rPr>
        <w:t xml:space="preserve"> rather than</w:t>
      </w:r>
      <w:r w:rsidRPr="00714987">
        <w:rPr>
          <w:lang w:eastAsia="zh-CN"/>
        </w:rPr>
        <w:t xml:space="preserve"> fully </w:t>
      </w:r>
      <w:r w:rsidRPr="00714987">
        <w:rPr>
          <w:rFonts w:hint="eastAsia"/>
          <w:lang w:eastAsia="zh-CN"/>
        </w:rPr>
        <w:t>adapt</w:t>
      </w:r>
      <w:r w:rsidRPr="00714987">
        <w:rPr>
          <w:lang w:eastAsia="zh-CN"/>
        </w:rPr>
        <w:t xml:space="preserve"> </w:t>
      </w:r>
      <w:r w:rsidR="00322B5C">
        <w:rPr>
          <w:lang w:eastAsia="zh-CN"/>
        </w:rPr>
        <w:t xml:space="preserve">to </w:t>
      </w:r>
      <w:r w:rsidRPr="00714987">
        <w:rPr>
          <w:lang w:eastAsia="zh-CN"/>
        </w:rPr>
        <w:t>the real world</w:t>
      </w:r>
      <w:r w:rsidRPr="00714987">
        <w:rPr>
          <w:rFonts w:hint="eastAsia"/>
          <w:lang w:val="en-US" w:eastAsia="zh-CN"/>
        </w:rPr>
        <w:t xml:space="preserve"> </w:t>
      </w:r>
      <w:r w:rsidRPr="00714987">
        <w:rPr>
          <w:lang w:eastAsia="zh-CN"/>
        </w:rPr>
        <w:fldChar w:fldCharType="begin"/>
      </w:r>
      <w:r w:rsidRPr="00714987">
        <w:rPr>
          <w:lang w:eastAsia="zh-CN"/>
        </w:rPr>
        <w:instrText xml:space="preserve"> ADDIN ZOTERO_ITEM CSL_CITATION {"citationID":"7hZBV1g9","properties":{"formattedCitation":"(Ahlfeldt, 2011)","plainCitation":"(Ahlfeldt, 2011)","noteIndex":0},"citationItems":[{"id":268,"uris":["http://zotero.org/users/10182289/items/B569BVVB"],"itemData":{"id":268,"type":"article-journal","abstract":"This study provides an empirical evaluation of employment accessibility as a determinant of urban land price. We find that the monocentric model, despite recent criticism, can perform satisfyingly if the hedonic value of land is identified in an account of structural and neighborhood characteristics. Gravity employment accessibility measures, however, can explain the residential land gradient entirely and disentangle positive accessibility effects from negative congestion effects related to transport infrastructure. They can therefore be recommended as an appropriate mean to account for labor market accessibility in an environment of dispersed employment, at least if the transport geography is accounted for.","container-title":"Journal of Regional Science","DOI":"10.1111/j.1467-9787.2010.00694.x","ISSN":"00224146","issue":"2","language":"en","page":"318-338","source":"DOI.org (Crossref)","title":"IF ALONSO WAS RIGHT: MODELING ACCESSIBILITY AND EXPLAINING THE RESIDENTIAL LAND GRADIENT","title-short":"IF ALONSO WAS RIGHT","volume":"51","author":[{"family":"Ahlfeldt","given":"Gabriel"}],"issued":{"date-parts":[["2011",5]]}}}],"schema":"https://github.com/citation-style-language/schema/raw/master/csl-citation.json"} </w:instrText>
      </w:r>
      <w:r w:rsidRPr="00714987">
        <w:rPr>
          <w:lang w:eastAsia="zh-CN"/>
        </w:rPr>
        <w:fldChar w:fldCharType="separate"/>
      </w:r>
      <w:r w:rsidRPr="00714987">
        <w:rPr>
          <w:lang w:eastAsia="zh-CN"/>
        </w:rPr>
        <w:t>(</w:t>
      </w:r>
      <w:proofErr w:type="spellStart"/>
      <w:r w:rsidRPr="00714987">
        <w:rPr>
          <w:lang w:eastAsia="zh-CN"/>
        </w:rPr>
        <w:t>Ahlfeldt</w:t>
      </w:r>
      <w:proofErr w:type="spellEnd"/>
      <w:r w:rsidRPr="00714987">
        <w:rPr>
          <w:lang w:eastAsia="zh-CN"/>
        </w:rPr>
        <w:t>, 2011)</w:t>
      </w:r>
      <w:r w:rsidRPr="00714987">
        <w:rPr>
          <w:lang w:eastAsia="zh-CN"/>
        </w:rPr>
        <w:fldChar w:fldCharType="end"/>
      </w:r>
      <w:r w:rsidRPr="00714987">
        <w:rPr>
          <w:lang w:eastAsia="zh-CN"/>
        </w:rPr>
        <w:t xml:space="preserve">, and the </w:t>
      </w:r>
      <w:r w:rsidRPr="00714987">
        <w:rPr>
          <w:rFonts w:hint="eastAsia"/>
          <w:lang w:eastAsia="zh-CN"/>
        </w:rPr>
        <w:t>single</w:t>
      </w:r>
      <w:r w:rsidRPr="00714987">
        <w:rPr>
          <w:rFonts w:hint="eastAsia"/>
          <w:lang w:val="en-US" w:eastAsia="zh-CN"/>
        </w:rPr>
        <w:t>-</w:t>
      </w:r>
      <w:r w:rsidR="002753B9" w:rsidRPr="00714987">
        <w:rPr>
          <w:lang w:eastAsia="zh-CN"/>
        </w:rPr>
        <w:t>centre</w:t>
      </w:r>
      <w:r w:rsidRPr="00714987">
        <w:rPr>
          <w:lang w:eastAsia="zh-CN"/>
        </w:rPr>
        <w:t xml:space="preserve"> model cannot cope with complex </w:t>
      </w:r>
      <w:r w:rsidRPr="00714987">
        <w:rPr>
          <w:rFonts w:hint="eastAsia"/>
          <w:lang w:eastAsia="zh-CN"/>
        </w:rPr>
        <w:t>multi</w:t>
      </w:r>
      <w:r w:rsidRPr="00714987">
        <w:rPr>
          <w:rFonts w:hint="eastAsia"/>
          <w:lang w:val="en-US" w:eastAsia="zh-CN"/>
        </w:rPr>
        <w:t>-</w:t>
      </w:r>
      <w:r w:rsidR="002753B9" w:rsidRPr="00714987">
        <w:rPr>
          <w:lang w:eastAsia="zh-CN"/>
        </w:rPr>
        <w:t>centre</w:t>
      </w:r>
      <w:r w:rsidRPr="00714987">
        <w:rPr>
          <w:lang w:eastAsia="zh-CN"/>
        </w:rPr>
        <w:t xml:space="preserve"> cities </w:t>
      </w:r>
      <w:r w:rsidRPr="00714987">
        <w:rPr>
          <w:lang w:eastAsia="zh-CN"/>
        </w:rPr>
        <w:fldChar w:fldCharType="begin"/>
      </w:r>
      <w:r w:rsidRPr="00714987">
        <w:rPr>
          <w:lang w:eastAsia="zh-CN"/>
        </w:rPr>
        <w:instrText xml:space="preserve"> ADDIN ZOTERO_ITEM CSL_CITATION {"citationID":"HIEe0T4N","properties":{"formattedCitation":"(Narvaez, Penn and Griffiths, 2013)","plainCitation":"(Narvaez, Penn and Griffiths, 2013)","noteIndex":0},"citationItems":[{"id":289,"uris":["http://zotero.org/users/10182289/items/47CUZBGC"],"itemData":{"id":289,"type":"article-journal","abstract":"What has urban space to do with economics? This paper investigates the relationship between urban space and urban economy focusing on the way centralities emerge across scales. A method is presented that combines space syntax theories and an economic model of trade-off that refers to the relation between rent and access. This is based on proposing that distance is shaped by the network of streets and not as measure from place to place. Therefore, economies take place in differences of space. Accessibility, is argued, becomes an important matter of scale in order to understand how economic actions are materialised in urban space and how space affects socio-economic interactions at the local design scale of the city. Properties of this relationship are investigated through rent values of different real estate property markets in the city of Cardiff, UK. The method identifies the spatial distribution of activities across scales. Firstly, it is shown that trade-off modelling in the street configuration can be devised as a global pattern of concentration of activities. Secondly, that trading between cost and access is a local process that can take place in different locations in the city that function as sub-centres. Thirdly, rent and access also encourages people to re-adapt urban spaces for economic benefits, generating mixed uses contained in the same real estate, the commercial-residential building. Finally, the implications of combining space syntax techniques with economic models are discussed. It is concluded that while spatial configurations create possibilities for economic activity, this should also be viewed as the reverse approach of how urban economics requires proximity in distance to be produced –a relationship that has not yet been approached in space syntax research.","container-title":"Proceedings 9th International Space Syntax Symposium. Sejong University. Seoul, Korea","journalAbbreviation":"Proceedings 9th International Space Syntax Symposium. Sejong University. Seoul, Korea","source":"ResearchGate","title":"Spatial Configuration and Bid Rent Theory: How urban space shapes the urban economy","title-short":"Spatial Configuration and Bid Rent Theory","author":[{"family":"Narvaez","given":"Laura"},{"family":"Penn","given":"Alan"},{"family":"Griffiths","given":"Sam"}],"issued":{"date-parts":[["2013",1,1]]}}}],"schema":"https://github.com/citation-style-language/schema/raw/master/csl-citation.json"} </w:instrText>
      </w:r>
      <w:r w:rsidRPr="00714987">
        <w:rPr>
          <w:lang w:eastAsia="zh-CN"/>
        </w:rPr>
        <w:fldChar w:fldCharType="separate"/>
      </w:r>
      <w:r w:rsidRPr="00714987">
        <w:t>(Narvaez, Penn and Griffiths, 2013)</w:t>
      </w:r>
      <w:r w:rsidRPr="00714987">
        <w:rPr>
          <w:lang w:eastAsia="zh-CN"/>
        </w:rPr>
        <w:fldChar w:fldCharType="end"/>
      </w:r>
      <w:r w:rsidRPr="00714987">
        <w:rPr>
          <w:lang w:eastAsia="zh-CN"/>
        </w:rPr>
        <w:t>.</w:t>
      </w:r>
    </w:p>
    <w:p w14:paraId="55A4EDD3" w14:textId="2EF069D0" w:rsidR="00AA47F7" w:rsidRPr="00714987" w:rsidRDefault="00000000" w:rsidP="00714987">
      <w:pPr>
        <w:pStyle w:val="1"/>
        <w:rPr>
          <w:szCs w:val="24"/>
        </w:rPr>
      </w:pPr>
      <w:r w:rsidRPr="00714987">
        <w:rPr>
          <w:szCs w:val="24"/>
        </w:rPr>
        <w:lastRenderedPageBreak/>
        <w:t xml:space="preserve">References </w:t>
      </w:r>
    </w:p>
    <w:p w14:paraId="0B7CBCCD" w14:textId="77777777" w:rsidR="00714987" w:rsidRPr="00714987" w:rsidRDefault="00714987" w:rsidP="00714987">
      <w:pPr>
        <w:pStyle w:val="aff0"/>
      </w:pPr>
      <w:r w:rsidRPr="00714987">
        <w:fldChar w:fldCharType="begin"/>
      </w:r>
      <w:r w:rsidRPr="00714987">
        <w:instrText xml:space="preserve"> ADDIN ZOTERO_BIBL {"uncited":[],"omitted":[],"custom":[]} CSL_BIBLIOGRAPHY </w:instrText>
      </w:r>
      <w:r w:rsidRPr="00714987">
        <w:fldChar w:fldCharType="separate"/>
      </w:r>
      <w:r w:rsidRPr="00714987">
        <w:t xml:space="preserve">Ahlfeldt, G. (2011) ‘IF ALONSO WAS RIGHT: MODELING ACCESSIBILITY AND EXPLAINING THE RESIDENTIAL LAND GRADIENT’, </w:t>
      </w:r>
      <w:r w:rsidRPr="00714987">
        <w:rPr>
          <w:i/>
          <w:iCs/>
        </w:rPr>
        <w:t>Journal of Regional Science</w:t>
      </w:r>
      <w:r w:rsidRPr="00714987">
        <w:t>, 51(2), pp. 318–338. Available at: https://doi.org/10.1111/j.1467-9787.2010.00694.x.</w:t>
      </w:r>
    </w:p>
    <w:p w14:paraId="4B63AC09" w14:textId="77777777" w:rsidR="00714987" w:rsidRPr="00714987" w:rsidRDefault="00714987" w:rsidP="00714987">
      <w:pPr>
        <w:pStyle w:val="aff0"/>
      </w:pPr>
      <w:r w:rsidRPr="00714987">
        <w:t xml:space="preserve">Alonso, W. (1964) </w:t>
      </w:r>
      <w:r w:rsidRPr="00714987">
        <w:rPr>
          <w:i/>
          <w:iCs/>
        </w:rPr>
        <w:t>Location and Land Use: Toward a General Theory of Land Rent</w:t>
      </w:r>
      <w:r w:rsidRPr="00714987">
        <w:t xml:space="preserve">, </w:t>
      </w:r>
      <w:r w:rsidRPr="00714987">
        <w:rPr>
          <w:i/>
          <w:iCs/>
        </w:rPr>
        <w:t>Location and Land Use</w:t>
      </w:r>
      <w:r w:rsidRPr="00714987">
        <w:t>. Harvard University Press. Available at: https://doi.org/10.4159/harvard.9780674730854.</w:t>
      </w:r>
    </w:p>
    <w:p w14:paraId="49CBAB83" w14:textId="77777777" w:rsidR="00714987" w:rsidRPr="00714987" w:rsidRDefault="00714987" w:rsidP="00714987">
      <w:pPr>
        <w:pStyle w:val="aff0"/>
      </w:pPr>
      <w:r w:rsidRPr="00714987">
        <w:t xml:space="preserve">Blackley, D.M. and Follain, J.R. (1987) ‘Tests of Locational Equilibrium in the Standard Urban Model’, </w:t>
      </w:r>
      <w:r w:rsidRPr="00714987">
        <w:rPr>
          <w:i/>
          <w:iCs/>
        </w:rPr>
        <w:t>Land Economics</w:t>
      </w:r>
      <w:r w:rsidRPr="00714987">
        <w:t>, 63(1), pp. 46–61. Available at: https://doi.org/10.2307/3146655.</w:t>
      </w:r>
    </w:p>
    <w:p w14:paraId="257F9D0E" w14:textId="77777777" w:rsidR="00714987" w:rsidRPr="00714987" w:rsidRDefault="00714987" w:rsidP="00714987">
      <w:pPr>
        <w:pStyle w:val="aff0"/>
      </w:pPr>
      <w:r w:rsidRPr="00714987">
        <w:t xml:space="preserve">Brueckner, J.K., Thisse, J.-F. and Zenou, Y. (1999) ‘Why is central Paris rich and downtown Detroit poor?: An amenity-based theory’, </w:t>
      </w:r>
      <w:r w:rsidRPr="00714987">
        <w:rPr>
          <w:i/>
          <w:iCs/>
        </w:rPr>
        <w:t>European Economic Review</w:t>
      </w:r>
      <w:r w:rsidRPr="00714987">
        <w:t>, 43(1), pp. 91–107. Available at: https://doi.org/10.1016/S0014-2921(98)00019-1.</w:t>
      </w:r>
    </w:p>
    <w:p w14:paraId="2BB8DB1C" w14:textId="77777777" w:rsidR="00714987" w:rsidRPr="00714987" w:rsidRDefault="00714987" w:rsidP="00714987">
      <w:pPr>
        <w:pStyle w:val="aff0"/>
      </w:pPr>
      <w:r w:rsidRPr="00714987">
        <w:t xml:space="preserve">Cheshire, P. and Sheppard, S. (1995) ‘On the Price of Land and the Value of Amenities’, </w:t>
      </w:r>
      <w:r w:rsidRPr="00714987">
        <w:rPr>
          <w:i/>
          <w:iCs/>
        </w:rPr>
        <w:t>Economica</w:t>
      </w:r>
      <w:r w:rsidRPr="00714987">
        <w:t>, 62(246), pp. 247–267. Available at: https://doi.org/10.2307/2554906.</w:t>
      </w:r>
    </w:p>
    <w:p w14:paraId="6DBA7D69" w14:textId="77777777" w:rsidR="00714987" w:rsidRPr="00714987" w:rsidRDefault="00714987" w:rsidP="00714987">
      <w:pPr>
        <w:pStyle w:val="aff0"/>
      </w:pPr>
      <w:r w:rsidRPr="00714987">
        <w:t xml:space="preserve">Cuberes, D., Roberts, J. and Sechel, C. (2019) ‘Household location in English cities’, </w:t>
      </w:r>
      <w:r w:rsidRPr="00714987">
        <w:rPr>
          <w:i/>
          <w:iCs/>
        </w:rPr>
        <w:t>Regional Science and Urban Economics</w:t>
      </w:r>
      <w:r w:rsidRPr="00714987">
        <w:t>, 75, pp. 120–135. Available at: https://doi.org/10.1016/j.regsciurbeco.2019.01.012.</w:t>
      </w:r>
    </w:p>
    <w:p w14:paraId="266A26D9" w14:textId="77777777" w:rsidR="00714987" w:rsidRPr="00714987" w:rsidRDefault="00714987" w:rsidP="00714987">
      <w:pPr>
        <w:pStyle w:val="aff0"/>
      </w:pPr>
      <w:r w:rsidRPr="00714987">
        <w:t xml:space="preserve">Glaeser, E.L., Kahn, M.E. and Rappaport, J. (2008) ‘Why do the poor live in cities? The role of public transportation’, </w:t>
      </w:r>
      <w:r w:rsidRPr="00714987">
        <w:rPr>
          <w:i/>
          <w:iCs/>
        </w:rPr>
        <w:t>Journal of Urban Economics</w:t>
      </w:r>
      <w:r w:rsidRPr="00714987">
        <w:t>, 63(1), pp. 1–24. Available at: https://doi.org/10.1016/j.jue.2006.12.004.</w:t>
      </w:r>
    </w:p>
    <w:p w14:paraId="5161167E" w14:textId="77777777" w:rsidR="00714987" w:rsidRPr="00714987" w:rsidRDefault="00714987" w:rsidP="00714987">
      <w:pPr>
        <w:pStyle w:val="aff0"/>
      </w:pPr>
      <w:r w:rsidRPr="00714987">
        <w:t xml:space="preserve">Hamilton, B.W. and Röell, A. (1982) ‘Wasteful Commuting’, </w:t>
      </w:r>
      <w:r w:rsidRPr="00714987">
        <w:rPr>
          <w:i/>
          <w:iCs/>
        </w:rPr>
        <w:t>Journal of Political Economy</w:t>
      </w:r>
      <w:r w:rsidRPr="00714987">
        <w:t xml:space="preserve"> [Preprint]. Available at: https://doi.org/10.1086/261107.</w:t>
      </w:r>
    </w:p>
    <w:p w14:paraId="14A8BA71" w14:textId="77777777" w:rsidR="00714987" w:rsidRPr="00714987" w:rsidRDefault="00714987" w:rsidP="00714987">
      <w:pPr>
        <w:pStyle w:val="aff0"/>
      </w:pPr>
      <w:r w:rsidRPr="00714987">
        <w:t xml:space="preserve">Liotta, C., Viguié, V. and Lepetit, Q. (2022) ‘Testing the monocentric standard urban model in a global sample of cities’, </w:t>
      </w:r>
      <w:r w:rsidRPr="00714987">
        <w:rPr>
          <w:i/>
          <w:iCs/>
        </w:rPr>
        <w:t>Regional Science and Urban Economics</w:t>
      </w:r>
      <w:r w:rsidRPr="00714987">
        <w:t>, 97, p. 103832. Available at: https://doi.org/10.1016/j.regsciurbeco.2022.103832.</w:t>
      </w:r>
    </w:p>
    <w:p w14:paraId="28052C49" w14:textId="77777777" w:rsidR="00714987" w:rsidRPr="00714987" w:rsidRDefault="00714987" w:rsidP="00714987">
      <w:pPr>
        <w:pStyle w:val="aff0"/>
      </w:pPr>
      <w:r w:rsidRPr="00714987">
        <w:lastRenderedPageBreak/>
        <w:t xml:space="preserve">Narvaez, L., Penn, A. and Griffiths, S. (2013) ‘Spatial Configuration and Bid Rent Theory: How urban space shapes the urban economy’, </w:t>
      </w:r>
      <w:r w:rsidRPr="00714987">
        <w:rPr>
          <w:i/>
          <w:iCs/>
        </w:rPr>
        <w:t>Proceedings 9th International Space Syntax Symposium. Sejong University. Seoul, Korea</w:t>
      </w:r>
      <w:r w:rsidRPr="00714987">
        <w:t xml:space="preserve"> [Preprint].</w:t>
      </w:r>
    </w:p>
    <w:p w14:paraId="6980BEF0" w14:textId="77777777" w:rsidR="00714987" w:rsidRPr="00714987" w:rsidRDefault="00714987" w:rsidP="00714987">
      <w:pPr>
        <w:pStyle w:val="aff0"/>
      </w:pPr>
      <w:r w:rsidRPr="00714987">
        <w:t>Schofield, P. (2020) ‘Greater Manchester Housing Market Monitor  January 2020  GMCA Research’, p. 40.</w:t>
      </w:r>
    </w:p>
    <w:p w14:paraId="0B29F5E7" w14:textId="77777777" w:rsidR="00714987" w:rsidRPr="00714987" w:rsidRDefault="00714987" w:rsidP="00714987">
      <w:pPr>
        <w:pStyle w:val="aff0"/>
      </w:pPr>
      <w:r w:rsidRPr="00714987">
        <w:t xml:space="preserve">Wheaton, W.C. (1977) ‘A bid rent approach to housing demand’, </w:t>
      </w:r>
      <w:r w:rsidRPr="00714987">
        <w:rPr>
          <w:i/>
          <w:iCs/>
        </w:rPr>
        <w:t>Journal of Urban Economics</w:t>
      </w:r>
      <w:r w:rsidRPr="00714987">
        <w:t>, 4(2), pp. 200–217. Available at: https://doi.org/10.1016/0094-1190(77)90023-7.</w:t>
      </w:r>
    </w:p>
    <w:p w14:paraId="58180DB4" w14:textId="1B91FA47" w:rsidR="00714987" w:rsidRPr="00714987" w:rsidRDefault="00714987" w:rsidP="00714987">
      <w:r w:rsidRPr="00714987">
        <w:fldChar w:fldCharType="end"/>
      </w:r>
    </w:p>
    <w:sectPr w:rsidR="00714987" w:rsidRPr="00714987">
      <w:footerReference w:type="even" r:id="rId13"/>
      <w:footerReference w:type="default" r:id="rId14"/>
      <w:pgSz w:w="11900" w:h="16840"/>
      <w:pgMar w:top="1701" w:right="1701" w:bottom="1701"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B60B" w14:textId="77777777" w:rsidR="00132743" w:rsidRDefault="00132743">
      <w:pPr>
        <w:spacing w:line="240" w:lineRule="auto"/>
      </w:pPr>
      <w:r>
        <w:separator/>
      </w:r>
    </w:p>
  </w:endnote>
  <w:endnote w:type="continuationSeparator" w:id="0">
    <w:p w14:paraId="535C9361" w14:textId="77777777" w:rsidR="00132743" w:rsidRDefault="00132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default"/>
    <w:sig w:usb0="00000000" w:usb1="00000000"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729B" w14:textId="77777777" w:rsidR="00AA47F7" w:rsidRDefault="00000000">
    <w:pPr>
      <w:pStyle w:val="ae"/>
      <w:framePr w:wrap="auto" w:vAnchor="text" w:hAnchor="margin" w:xAlign="center" w:y="1"/>
      <w:rPr>
        <w:rStyle w:val="afb"/>
      </w:rPr>
    </w:pPr>
    <w:r>
      <w:rPr>
        <w:rStyle w:val="afb"/>
      </w:rPr>
      <w:fldChar w:fldCharType="begin"/>
    </w:r>
    <w:r>
      <w:rPr>
        <w:rStyle w:val="afb"/>
      </w:rPr>
      <w:instrText xml:space="preserve">PAGE  </w:instrText>
    </w:r>
    <w:r>
      <w:rPr>
        <w:rStyle w:val="afb"/>
      </w:rPr>
      <w:fldChar w:fldCharType="end"/>
    </w:r>
  </w:p>
  <w:p w14:paraId="633E9034" w14:textId="77777777" w:rsidR="00AA47F7" w:rsidRDefault="00AA47F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565D" w14:textId="77777777" w:rsidR="00AA47F7" w:rsidRDefault="00000000">
    <w:pPr>
      <w:pStyle w:val="ae"/>
      <w:framePr w:wrap="auto" w:vAnchor="text" w:hAnchor="margin" w:xAlign="center" w:y="1"/>
      <w:rPr>
        <w:rStyle w:val="afb"/>
      </w:rPr>
    </w:pPr>
    <w:r>
      <w:rPr>
        <w:rStyle w:val="afb"/>
      </w:rPr>
      <w:fldChar w:fldCharType="begin"/>
    </w:r>
    <w:r>
      <w:rPr>
        <w:rStyle w:val="afb"/>
      </w:rPr>
      <w:instrText xml:space="preserve">PAGE  </w:instrText>
    </w:r>
    <w:r>
      <w:rPr>
        <w:rStyle w:val="afb"/>
      </w:rPr>
      <w:fldChar w:fldCharType="separate"/>
    </w:r>
    <w:r>
      <w:rPr>
        <w:rStyle w:val="afb"/>
      </w:rPr>
      <w:t>1</w:t>
    </w:r>
    <w:r>
      <w:rPr>
        <w:rStyle w:val="afb"/>
      </w:rPr>
      <w:fldChar w:fldCharType="end"/>
    </w:r>
  </w:p>
  <w:p w14:paraId="751CE35B" w14:textId="77777777" w:rsidR="00AA47F7" w:rsidRDefault="00AA47F7">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6BD2D" w14:textId="77777777" w:rsidR="00132743" w:rsidRDefault="00132743">
      <w:pPr>
        <w:spacing w:before="0"/>
      </w:pPr>
      <w:r>
        <w:separator/>
      </w:r>
    </w:p>
  </w:footnote>
  <w:footnote w:type="continuationSeparator" w:id="0">
    <w:p w14:paraId="49577098" w14:textId="77777777" w:rsidR="00132743" w:rsidRDefault="0013274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51024"/>
    <w:multiLevelType w:val="multilevel"/>
    <w:tmpl w:val="46351024"/>
    <w:lvl w:ilvl="0">
      <w:start w:val="1"/>
      <w:numFmt w:val="bullet"/>
      <w:pStyle w:val="a"/>
      <w:lvlText w:val=""/>
      <w:lvlJc w:val="left"/>
      <w:pPr>
        <w:ind w:left="680" w:hanging="396"/>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55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299"/>
  <w:displayHorizont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A5ZTNlOGMzNmRhMDA3MjY3N2VkOTI1YmMzMmQ0ZjQifQ=="/>
  </w:docVars>
  <w:rsids>
    <w:rsidRoot w:val="003E3565"/>
    <w:rsid w:val="00004F6C"/>
    <w:rsid w:val="00011AEB"/>
    <w:rsid w:val="00011FD9"/>
    <w:rsid w:val="00013C0F"/>
    <w:rsid w:val="00017472"/>
    <w:rsid w:val="000175BD"/>
    <w:rsid w:val="00020652"/>
    <w:rsid w:val="00024251"/>
    <w:rsid w:val="0002452F"/>
    <w:rsid w:val="00026F84"/>
    <w:rsid w:val="00027273"/>
    <w:rsid w:val="00032BF7"/>
    <w:rsid w:val="00036A4B"/>
    <w:rsid w:val="00037F2A"/>
    <w:rsid w:val="00041724"/>
    <w:rsid w:val="00042FF9"/>
    <w:rsid w:val="0004561A"/>
    <w:rsid w:val="000464B5"/>
    <w:rsid w:val="000470BD"/>
    <w:rsid w:val="000505C4"/>
    <w:rsid w:val="000517AC"/>
    <w:rsid w:val="00053AC5"/>
    <w:rsid w:val="00055D59"/>
    <w:rsid w:val="00060531"/>
    <w:rsid w:val="00063D97"/>
    <w:rsid w:val="00063E1E"/>
    <w:rsid w:val="00064C6E"/>
    <w:rsid w:val="00065BF1"/>
    <w:rsid w:val="00073CCC"/>
    <w:rsid w:val="00074290"/>
    <w:rsid w:val="000753F5"/>
    <w:rsid w:val="00076389"/>
    <w:rsid w:val="00077AE9"/>
    <w:rsid w:val="00081492"/>
    <w:rsid w:val="00081D83"/>
    <w:rsid w:val="0008206C"/>
    <w:rsid w:val="000913D6"/>
    <w:rsid w:val="0009279E"/>
    <w:rsid w:val="00092C1D"/>
    <w:rsid w:val="00094F2D"/>
    <w:rsid w:val="000A0777"/>
    <w:rsid w:val="000A3D13"/>
    <w:rsid w:val="000A5719"/>
    <w:rsid w:val="000B1931"/>
    <w:rsid w:val="000B2ACE"/>
    <w:rsid w:val="000B356B"/>
    <w:rsid w:val="000B5312"/>
    <w:rsid w:val="000C0416"/>
    <w:rsid w:val="000C0BD7"/>
    <w:rsid w:val="000C1EAF"/>
    <w:rsid w:val="000C5595"/>
    <w:rsid w:val="000C6AD9"/>
    <w:rsid w:val="000C71F0"/>
    <w:rsid w:val="000C7371"/>
    <w:rsid w:val="000D1647"/>
    <w:rsid w:val="000D39E8"/>
    <w:rsid w:val="000D49BA"/>
    <w:rsid w:val="000D73FC"/>
    <w:rsid w:val="000D7675"/>
    <w:rsid w:val="000E2D34"/>
    <w:rsid w:val="000E321E"/>
    <w:rsid w:val="000E36E5"/>
    <w:rsid w:val="000E6B69"/>
    <w:rsid w:val="000E70BB"/>
    <w:rsid w:val="000F0215"/>
    <w:rsid w:val="000F3389"/>
    <w:rsid w:val="000F4B3C"/>
    <w:rsid w:val="001015D9"/>
    <w:rsid w:val="00104766"/>
    <w:rsid w:val="0010694E"/>
    <w:rsid w:val="00107DFA"/>
    <w:rsid w:val="0011031C"/>
    <w:rsid w:val="00110724"/>
    <w:rsid w:val="00110C4E"/>
    <w:rsid w:val="00111593"/>
    <w:rsid w:val="00112A1A"/>
    <w:rsid w:val="00112E25"/>
    <w:rsid w:val="00113D75"/>
    <w:rsid w:val="00114118"/>
    <w:rsid w:val="001148A7"/>
    <w:rsid w:val="001205D8"/>
    <w:rsid w:val="00123670"/>
    <w:rsid w:val="00123B1A"/>
    <w:rsid w:val="001267D6"/>
    <w:rsid w:val="00130CD5"/>
    <w:rsid w:val="00132743"/>
    <w:rsid w:val="00133C52"/>
    <w:rsid w:val="00133C81"/>
    <w:rsid w:val="001353AD"/>
    <w:rsid w:val="001366FE"/>
    <w:rsid w:val="00136C67"/>
    <w:rsid w:val="0014181C"/>
    <w:rsid w:val="001427D4"/>
    <w:rsid w:val="001432A2"/>
    <w:rsid w:val="0014787A"/>
    <w:rsid w:val="00151CD5"/>
    <w:rsid w:val="00152598"/>
    <w:rsid w:val="001527FF"/>
    <w:rsid w:val="00155198"/>
    <w:rsid w:val="00156A8D"/>
    <w:rsid w:val="0015710C"/>
    <w:rsid w:val="0016370C"/>
    <w:rsid w:val="001712B5"/>
    <w:rsid w:val="00186506"/>
    <w:rsid w:val="00186A0D"/>
    <w:rsid w:val="001904ED"/>
    <w:rsid w:val="001918CE"/>
    <w:rsid w:val="00196861"/>
    <w:rsid w:val="001972B6"/>
    <w:rsid w:val="00197BC1"/>
    <w:rsid w:val="001A1468"/>
    <w:rsid w:val="001A241B"/>
    <w:rsid w:val="001A2A1D"/>
    <w:rsid w:val="001A520D"/>
    <w:rsid w:val="001B015D"/>
    <w:rsid w:val="001B1054"/>
    <w:rsid w:val="001B1403"/>
    <w:rsid w:val="001B4939"/>
    <w:rsid w:val="001B4F52"/>
    <w:rsid w:val="001B5DFF"/>
    <w:rsid w:val="001B5FE4"/>
    <w:rsid w:val="001B632C"/>
    <w:rsid w:val="001B67EE"/>
    <w:rsid w:val="001B6D99"/>
    <w:rsid w:val="001C2C28"/>
    <w:rsid w:val="001C3A36"/>
    <w:rsid w:val="001C5441"/>
    <w:rsid w:val="001C5851"/>
    <w:rsid w:val="001C5906"/>
    <w:rsid w:val="001D008B"/>
    <w:rsid w:val="001D2DAB"/>
    <w:rsid w:val="001D4BC0"/>
    <w:rsid w:val="001E074D"/>
    <w:rsid w:val="001E2B25"/>
    <w:rsid w:val="001E6EB1"/>
    <w:rsid w:val="001F1635"/>
    <w:rsid w:val="001F20FE"/>
    <w:rsid w:val="001F2102"/>
    <w:rsid w:val="001F3B58"/>
    <w:rsid w:val="001F5FC4"/>
    <w:rsid w:val="001F6007"/>
    <w:rsid w:val="0020534A"/>
    <w:rsid w:val="00207545"/>
    <w:rsid w:val="002102F0"/>
    <w:rsid w:val="00211F42"/>
    <w:rsid w:val="00217D69"/>
    <w:rsid w:val="0023087A"/>
    <w:rsid w:val="00235205"/>
    <w:rsid w:val="00241908"/>
    <w:rsid w:val="002422A5"/>
    <w:rsid w:val="00247453"/>
    <w:rsid w:val="002501BF"/>
    <w:rsid w:val="0025021F"/>
    <w:rsid w:val="00250B51"/>
    <w:rsid w:val="00252357"/>
    <w:rsid w:val="00253729"/>
    <w:rsid w:val="002538FE"/>
    <w:rsid w:val="00254EA7"/>
    <w:rsid w:val="00257F46"/>
    <w:rsid w:val="00261BBC"/>
    <w:rsid w:val="0026213C"/>
    <w:rsid w:val="00263F33"/>
    <w:rsid w:val="00264A6A"/>
    <w:rsid w:val="00267BE8"/>
    <w:rsid w:val="00273235"/>
    <w:rsid w:val="00274965"/>
    <w:rsid w:val="002753B9"/>
    <w:rsid w:val="0027671F"/>
    <w:rsid w:val="00276E02"/>
    <w:rsid w:val="00277C1C"/>
    <w:rsid w:val="00287161"/>
    <w:rsid w:val="00287B59"/>
    <w:rsid w:val="00287FAD"/>
    <w:rsid w:val="00296098"/>
    <w:rsid w:val="002A18C1"/>
    <w:rsid w:val="002A35F4"/>
    <w:rsid w:val="002B3A07"/>
    <w:rsid w:val="002B48E7"/>
    <w:rsid w:val="002B660D"/>
    <w:rsid w:val="002C3A75"/>
    <w:rsid w:val="002C3C6A"/>
    <w:rsid w:val="002C560D"/>
    <w:rsid w:val="002C567B"/>
    <w:rsid w:val="002D0795"/>
    <w:rsid w:val="002D29E5"/>
    <w:rsid w:val="002D3384"/>
    <w:rsid w:val="002D4CC6"/>
    <w:rsid w:val="002D6827"/>
    <w:rsid w:val="002E137E"/>
    <w:rsid w:val="002E2F69"/>
    <w:rsid w:val="002E4AFD"/>
    <w:rsid w:val="002F291F"/>
    <w:rsid w:val="002F7AAC"/>
    <w:rsid w:val="00304C86"/>
    <w:rsid w:val="00305E0D"/>
    <w:rsid w:val="003100FB"/>
    <w:rsid w:val="00314900"/>
    <w:rsid w:val="0031576D"/>
    <w:rsid w:val="00315FA6"/>
    <w:rsid w:val="0031696C"/>
    <w:rsid w:val="00316A87"/>
    <w:rsid w:val="00320667"/>
    <w:rsid w:val="00322B5C"/>
    <w:rsid w:val="003258B2"/>
    <w:rsid w:val="00331CC7"/>
    <w:rsid w:val="003341A4"/>
    <w:rsid w:val="00334B25"/>
    <w:rsid w:val="00334C4B"/>
    <w:rsid w:val="00337F07"/>
    <w:rsid w:val="0034166D"/>
    <w:rsid w:val="00341F10"/>
    <w:rsid w:val="00343E00"/>
    <w:rsid w:val="00345C3C"/>
    <w:rsid w:val="0034765D"/>
    <w:rsid w:val="003503D3"/>
    <w:rsid w:val="00351AA5"/>
    <w:rsid w:val="00354980"/>
    <w:rsid w:val="00357663"/>
    <w:rsid w:val="0036175D"/>
    <w:rsid w:val="00362328"/>
    <w:rsid w:val="00362826"/>
    <w:rsid w:val="00365FE2"/>
    <w:rsid w:val="00366B9A"/>
    <w:rsid w:val="00373AA2"/>
    <w:rsid w:val="0037755B"/>
    <w:rsid w:val="00377A59"/>
    <w:rsid w:val="00377AB3"/>
    <w:rsid w:val="00377B05"/>
    <w:rsid w:val="0038599A"/>
    <w:rsid w:val="003905E3"/>
    <w:rsid w:val="00392074"/>
    <w:rsid w:val="003934AA"/>
    <w:rsid w:val="00393B56"/>
    <w:rsid w:val="003963FB"/>
    <w:rsid w:val="003A169D"/>
    <w:rsid w:val="003A1DB5"/>
    <w:rsid w:val="003A2968"/>
    <w:rsid w:val="003A4224"/>
    <w:rsid w:val="003A655F"/>
    <w:rsid w:val="003A76CE"/>
    <w:rsid w:val="003A7800"/>
    <w:rsid w:val="003B24FF"/>
    <w:rsid w:val="003C0087"/>
    <w:rsid w:val="003C0F7F"/>
    <w:rsid w:val="003C1835"/>
    <w:rsid w:val="003C2750"/>
    <w:rsid w:val="003C5B21"/>
    <w:rsid w:val="003D09D7"/>
    <w:rsid w:val="003D4627"/>
    <w:rsid w:val="003D4A5D"/>
    <w:rsid w:val="003D52B2"/>
    <w:rsid w:val="003D5597"/>
    <w:rsid w:val="003E0186"/>
    <w:rsid w:val="003E3280"/>
    <w:rsid w:val="003E3565"/>
    <w:rsid w:val="003E3CE7"/>
    <w:rsid w:val="003E488E"/>
    <w:rsid w:val="003E6AB1"/>
    <w:rsid w:val="003E6E1C"/>
    <w:rsid w:val="003E7945"/>
    <w:rsid w:val="003E7F88"/>
    <w:rsid w:val="003F1361"/>
    <w:rsid w:val="003F138A"/>
    <w:rsid w:val="003F2078"/>
    <w:rsid w:val="003F4C9E"/>
    <w:rsid w:val="003F5662"/>
    <w:rsid w:val="003F6737"/>
    <w:rsid w:val="003F7BCB"/>
    <w:rsid w:val="00403629"/>
    <w:rsid w:val="004059A6"/>
    <w:rsid w:val="004139EE"/>
    <w:rsid w:val="0041460F"/>
    <w:rsid w:val="00415039"/>
    <w:rsid w:val="004153F5"/>
    <w:rsid w:val="00417321"/>
    <w:rsid w:val="0042496E"/>
    <w:rsid w:val="00425B94"/>
    <w:rsid w:val="00425C6A"/>
    <w:rsid w:val="00426D61"/>
    <w:rsid w:val="00426FCA"/>
    <w:rsid w:val="00427628"/>
    <w:rsid w:val="00427E94"/>
    <w:rsid w:val="00431EB1"/>
    <w:rsid w:val="0043505F"/>
    <w:rsid w:val="00440A75"/>
    <w:rsid w:val="00443137"/>
    <w:rsid w:val="00443F48"/>
    <w:rsid w:val="004442A2"/>
    <w:rsid w:val="00444AAA"/>
    <w:rsid w:val="0044639A"/>
    <w:rsid w:val="00447C46"/>
    <w:rsid w:val="0045080D"/>
    <w:rsid w:val="00452997"/>
    <w:rsid w:val="00452D71"/>
    <w:rsid w:val="0045362C"/>
    <w:rsid w:val="00455702"/>
    <w:rsid w:val="00456B53"/>
    <w:rsid w:val="00457BE1"/>
    <w:rsid w:val="00462532"/>
    <w:rsid w:val="004707FB"/>
    <w:rsid w:val="0047541F"/>
    <w:rsid w:val="00476D92"/>
    <w:rsid w:val="00477C4A"/>
    <w:rsid w:val="00482F4B"/>
    <w:rsid w:val="004844E8"/>
    <w:rsid w:val="00484A7B"/>
    <w:rsid w:val="00490221"/>
    <w:rsid w:val="004917DA"/>
    <w:rsid w:val="0049184C"/>
    <w:rsid w:val="004925D4"/>
    <w:rsid w:val="004936A0"/>
    <w:rsid w:val="0049412D"/>
    <w:rsid w:val="00494789"/>
    <w:rsid w:val="004A4C57"/>
    <w:rsid w:val="004B073C"/>
    <w:rsid w:val="004B235F"/>
    <w:rsid w:val="004B2698"/>
    <w:rsid w:val="004B3580"/>
    <w:rsid w:val="004B48D6"/>
    <w:rsid w:val="004C10CF"/>
    <w:rsid w:val="004C3A9B"/>
    <w:rsid w:val="004D0778"/>
    <w:rsid w:val="004D0A46"/>
    <w:rsid w:val="004D1992"/>
    <w:rsid w:val="004D4142"/>
    <w:rsid w:val="004D58BE"/>
    <w:rsid w:val="004D79CC"/>
    <w:rsid w:val="004D79D7"/>
    <w:rsid w:val="004E13FE"/>
    <w:rsid w:val="004E210A"/>
    <w:rsid w:val="004E3A41"/>
    <w:rsid w:val="004E5024"/>
    <w:rsid w:val="004E5677"/>
    <w:rsid w:val="004E5FF9"/>
    <w:rsid w:val="004F038E"/>
    <w:rsid w:val="00500448"/>
    <w:rsid w:val="00500BA7"/>
    <w:rsid w:val="00502E4B"/>
    <w:rsid w:val="0051185F"/>
    <w:rsid w:val="00511A43"/>
    <w:rsid w:val="00511C8F"/>
    <w:rsid w:val="00511FF9"/>
    <w:rsid w:val="00512FA3"/>
    <w:rsid w:val="005139B7"/>
    <w:rsid w:val="005151B5"/>
    <w:rsid w:val="005172CC"/>
    <w:rsid w:val="0052384A"/>
    <w:rsid w:val="00523CBD"/>
    <w:rsid w:val="0052595A"/>
    <w:rsid w:val="00525E5A"/>
    <w:rsid w:val="00526069"/>
    <w:rsid w:val="00526FC1"/>
    <w:rsid w:val="00527930"/>
    <w:rsid w:val="005333D2"/>
    <w:rsid w:val="00534863"/>
    <w:rsid w:val="005353C3"/>
    <w:rsid w:val="00536EEC"/>
    <w:rsid w:val="00537B6E"/>
    <w:rsid w:val="005460CE"/>
    <w:rsid w:val="00546BAB"/>
    <w:rsid w:val="0055542D"/>
    <w:rsid w:val="005600E3"/>
    <w:rsid w:val="00560373"/>
    <w:rsid w:val="005644CC"/>
    <w:rsid w:val="00567688"/>
    <w:rsid w:val="005721F5"/>
    <w:rsid w:val="00574167"/>
    <w:rsid w:val="005741B8"/>
    <w:rsid w:val="00577885"/>
    <w:rsid w:val="005806E5"/>
    <w:rsid w:val="00586D6C"/>
    <w:rsid w:val="005875EA"/>
    <w:rsid w:val="0059277B"/>
    <w:rsid w:val="0059331B"/>
    <w:rsid w:val="005A040F"/>
    <w:rsid w:val="005A11B7"/>
    <w:rsid w:val="005A406B"/>
    <w:rsid w:val="005A579D"/>
    <w:rsid w:val="005A5826"/>
    <w:rsid w:val="005A672F"/>
    <w:rsid w:val="005B215B"/>
    <w:rsid w:val="005B3DE0"/>
    <w:rsid w:val="005C3EAF"/>
    <w:rsid w:val="005C462D"/>
    <w:rsid w:val="005C6680"/>
    <w:rsid w:val="005C74DC"/>
    <w:rsid w:val="005D4594"/>
    <w:rsid w:val="005D6534"/>
    <w:rsid w:val="005D70A3"/>
    <w:rsid w:val="005E04DB"/>
    <w:rsid w:val="005E0BE9"/>
    <w:rsid w:val="005E23CD"/>
    <w:rsid w:val="005E3597"/>
    <w:rsid w:val="005E4A04"/>
    <w:rsid w:val="005E5506"/>
    <w:rsid w:val="005E570B"/>
    <w:rsid w:val="005F1138"/>
    <w:rsid w:val="005F6CE2"/>
    <w:rsid w:val="00601BCB"/>
    <w:rsid w:val="00606891"/>
    <w:rsid w:val="00607163"/>
    <w:rsid w:val="006101B9"/>
    <w:rsid w:val="00613F04"/>
    <w:rsid w:val="00614A57"/>
    <w:rsid w:val="006210C5"/>
    <w:rsid w:val="0062187F"/>
    <w:rsid w:val="006278A3"/>
    <w:rsid w:val="00634320"/>
    <w:rsid w:val="006402A8"/>
    <w:rsid w:val="00640515"/>
    <w:rsid w:val="00640584"/>
    <w:rsid w:val="00641B72"/>
    <w:rsid w:val="00642F77"/>
    <w:rsid w:val="006544DD"/>
    <w:rsid w:val="00660718"/>
    <w:rsid w:val="00660DEA"/>
    <w:rsid w:val="00662AB8"/>
    <w:rsid w:val="00663F1E"/>
    <w:rsid w:val="00665C98"/>
    <w:rsid w:val="00665EF2"/>
    <w:rsid w:val="00670AF3"/>
    <w:rsid w:val="006719C6"/>
    <w:rsid w:val="00671F0F"/>
    <w:rsid w:val="00671F80"/>
    <w:rsid w:val="00672EEA"/>
    <w:rsid w:val="00674FC3"/>
    <w:rsid w:val="00677521"/>
    <w:rsid w:val="00681560"/>
    <w:rsid w:val="00692C08"/>
    <w:rsid w:val="006947EF"/>
    <w:rsid w:val="0069744D"/>
    <w:rsid w:val="006A2BBF"/>
    <w:rsid w:val="006A3678"/>
    <w:rsid w:val="006A3CCE"/>
    <w:rsid w:val="006A4CB1"/>
    <w:rsid w:val="006B4C89"/>
    <w:rsid w:val="006B667B"/>
    <w:rsid w:val="006B7133"/>
    <w:rsid w:val="006C0400"/>
    <w:rsid w:val="006C47F3"/>
    <w:rsid w:val="006C72E3"/>
    <w:rsid w:val="006C7B9E"/>
    <w:rsid w:val="006D28AE"/>
    <w:rsid w:val="006D39B3"/>
    <w:rsid w:val="006D3E5E"/>
    <w:rsid w:val="006D42A5"/>
    <w:rsid w:val="006E1CA0"/>
    <w:rsid w:val="006E442C"/>
    <w:rsid w:val="006E48E4"/>
    <w:rsid w:val="006E4A50"/>
    <w:rsid w:val="006E4BFE"/>
    <w:rsid w:val="006E58CD"/>
    <w:rsid w:val="006E6B86"/>
    <w:rsid w:val="006F3096"/>
    <w:rsid w:val="006F3559"/>
    <w:rsid w:val="00706E9E"/>
    <w:rsid w:val="00714987"/>
    <w:rsid w:val="00725872"/>
    <w:rsid w:val="00726C0C"/>
    <w:rsid w:val="00726C7D"/>
    <w:rsid w:val="00726D63"/>
    <w:rsid w:val="00726D99"/>
    <w:rsid w:val="0072718E"/>
    <w:rsid w:val="00727359"/>
    <w:rsid w:val="0072754C"/>
    <w:rsid w:val="00732A34"/>
    <w:rsid w:val="00734DEB"/>
    <w:rsid w:val="00735474"/>
    <w:rsid w:val="00741766"/>
    <w:rsid w:val="00741897"/>
    <w:rsid w:val="00746260"/>
    <w:rsid w:val="00751AA7"/>
    <w:rsid w:val="00751FAD"/>
    <w:rsid w:val="00752765"/>
    <w:rsid w:val="0075329C"/>
    <w:rsid w:val="00754656"/>
    <w:rsid w:val="00754D1E"/>
    <w:rsid w:val="00757B91"/>
    <w:rsid w:val="00757EB9"/>
    <w:rsid w:val="00761B1E"/>
    <w:rsid w:val="00762693"/>
    <w:rsid w:val="007635C8"/>
    <w:rsid w:val="00764F1D"/>
    <w:rsid w:val="007650C6"/>
    <w:rsid w:val="007657B6"/>
    <w:rsid w:val="00765C90"/>
    <w:rsid w:val="007725F4"/>
    <w:rsid w:val="00774311"/>
    <w:rsid w:val="00775CC7"/>
    <w:rsid w:val="00784182"/>
    <w:rsid w:val="00784461"/>
    <w:rsid w:val="00796C10"/>
    <w:rsid w:val="00797433"/>
    <w:rsid w:val="007A1A61"/>
    <w:rsid w:val="007A428E"/>
    <w:rsid w:val="007A42B8"/>
    <w:rsid w:val="007A4966"/>
    <w:rsid w:val="007A4C83"/>
    <w:rsid w:val="007A7AD0"/>
    <w:rsid w:val="007B0810"/>
    <w:rsid w:val="007B1F9B"/>
    <w:rsid w:val="007B423D"/>
    <w:rsid w:val="007B6919"/>
    <w:rsid w:val="007C0251"/>
    <w:rsid w:val="007C2930"/>
    <w:rsid w:val="007C5DD1"/>
    <w:rsid w:val="007C7CD8"/>
    <w:rsid w:val="007D0BF4"/>
    <w:rsid w:val="007D399A"/>
    <w:rsid w:val="007D3C8C"/>
    <w:rsid w:val="007D55D4"/>
    <w:rsid w:val="007E0EE1"/>
    <w:rsid w:val="007E0F86"/>
    <w:rsid w:val="007E2A18"/>
    <w:rsid w:val="007E3D0B"/>
    <w:rsid w:val="007E5D64"/>
    <w:rsid w:val="007E7B62"/>
    <w:rsid w:val="007E7D3E"/>
    <w:rsid w:val="007F0045"/>
    <w:rsid w:val="007F0A0C"/>
    <w:rsid w:val="007F2614"/>
    <w:rsid w:val="007F3AB7"/>
    <w:rsid w:val="007F4BBB"/>
    <w:rsid w:val="007F5636"/>
    <w:rsid w:val="008003E9"/>
    <w:rsid w:val="00801F6F"/>
    <w:rsid w:val="0080518C"/>
    <w:rsid w:val="00805906"/>
    <w:rsid w:val="00806CEF"/>
    <w:rsid w:val="008133DF"/>
    <w:rsid w:val="00815A05"/>
    <w:rsid w:val="00816E11"/>
    <w:rsid w:val="00817269"/>
    <w:rsid w:val="00817946"/>
    <w:rsid w:val="00823F61"/>
    <w:rsid w:val="00824286"/>
    <w:rsid w:val="00836325"/>
    <w:rsid w:val="00836EC5"/>
    <w:rsid w:val="00841C14"/>
    <w:rsid w:val="0084487C"/>
    <w:rsid w:val="00845358"/>
    <w:rsid w:val="00845C8E"/>
    <w:rsid w:val="00847678"/>
    <w:rsid w:val="008544C3"/>
    <w:rsid w:val="008546B1"/>
    <w:rsid w:val="008626C0"/>
    <w:rsid w:val="008720F7"/>
    <w:rsid w:val="0087233C"/>
    <w:rsid w:val="00872E29"/>
    <w:rsid w:val="00872EA0"/>
    <w:rsid w:val="00876128"/>
    <w:rsid w:val="008803CD"/>
    <w:rsid w:val="0088243D"/>
    <w:rsid w:val="00882B2F"/>
    <w:rsid w:val="00882C2D"/>
    <w:rsid w:val="00887666"/>
    <w:rsid w:val="0089002A"/>
    <w:rsid w:val="00892B5B"/>
    <w:rsid w:val="0089333F"/>
    <w:rsid w:val="0089399A"/>
    <w:rsid w:val="008962EF"/>
    <w:rsid w:val="00896909"/>
    <w:rsid w:val="00897349"/>
    <w:rsid w:val="008A3B3A"/>
    <w:rsid w:val="008A53B6"/>
    <w:rsid w:val="008A5484"/>
    <w:rsid w:val="008B2863"/>
    <w:rsid w:val="008B3408"/>
    <w:rsid w:val="008B3A9F"/>
    <w:rsid w:val="008B60EF"/>
    <w:rsid w:val="008C0615"/>
    <w:rsid w:val="008C0C12"/>
    <w:rsid w:val="008C39F0"/>
    <w:rsid w:val="008C43F7"/>
    <w:rsid w:val="008C4955"/>
    <w:rsid w:val="008C4E39"/>
    <w:rsid w:val="008D01D7"/>
    <w:rsid w:val="008D14E6"/>
    <w:rsid w:val="008D1733"/>
    <w:rsid w:val="008D2C05"/>
    <w:rsid w:val="008D34E1"/>
    <w:rsid w:val="008D6058"/>
    <w:rsid w:val="008D69A0"/>
    <w:rsid w:val="008E17BD"/>
    <w:rsid w:val="008E5D89"/>
    <w:rsid w:val="008E5DD6"/>
    <w:rsid w:val="008E6ED8"/>
    <w:rsid w:val="008F0379"/>
    <w:rsid w:val="008F453A"/>
    <w:rsid w:val="009030FB"/>
    <w:rsid w:val="0090628C"/>
    <w:rsid w:val="00906FEC"/>
    <w:rsid w:val="0091097E"/>
    <w:rsid w:val="00911EE1"/>
    <w:rsid w:val="00915395"/>
    <w:rsid w:val="0091663E"/>
    <w:rsid w:val="00920C5F"/>
    <w:rsid w:val="00922367"/>
    <w:rsid w:val="00922A7B"/>
    <w:rsid w:val="00923279"/>
    <w:rsid w:val="00925CA7"/>
    <w:rsid w:val="00926D4D"/>
    <w:rsid w:val="0093005B"/>
    <w:rsid w:val="00930074"/>
    <w:rsid w:val="009320CF"/>
    <w:rsid w:val="00935053"/>
    <w:rsid w:val="009425CF"/>
    <w:rsid w:val="00943580"/>
    <w:rsid w:val="00951769"/>
    <w:rsid w:val="00957C8A"/>
    <w:rsid w:val="00957D0E"/>
    <w:rsid w:val="0096543C"/>
    <w:rsid w:val="00965B61"/>
    <w:rsid w:val="00966CBB"/>
    <w:rsid w:val="00972E85"/>
    <w:rsid w:val="00976583"/>
    <w:rsid w:val="00977A45"/>
    <w:rsid w:val="00980571"/>
    <w:rsid w:val="00981321"/>
    <w:rsid w:val="00981D86"/>
    <w:rsid w:val="00983112"/>
    <w:rsid w:val="009854CF"/>
    <w:rsid w:val="00987482"/>
    <w:rsid w:val="009945A3"/>
    <w:rsid w:val="00995557"/>
    <w:rsid w:val="00995B41"/>
    <w:rsid w:val="00996057"/>
    <w:rsid w:val="009976B6"/>
    <w:rsid w:val="009A0D4C"/>
    <w:rsid w:val="009A19F9"/>
    <w:rsid w:val="009A21A4"/>
    <w:rsid w:val="009A3484"/>
    <w:rsid w:val="009A5FC3"/>
    <w:rsid w:val="009B09DC"/>
    <w:rsid w:val="009B2AB1"/>
    <w:rsid w:val="009B2CBD"/>
    <w:rsid w:val="009C005B"/>
    <w:rsid w:val="009C5C9B"/>
    <w:rsid w:val="009C6954"/>
    <w:rsid w:val="009D037E"/>
    <w:rsid w:val="009D0CB3"/>
    <w:rsid w:val="009D383F"/>
    <w:rsid w:val="009D76EE"/>
    <w:rsid w:val="009E1890"/>
    <w:rsid w:val="009E2C20"/>
    <w:rsid w:val="009F1B5F"/>
    <w:rsid w:val="009F2C47"/>
    <w:rsid w:val="009F5846"/>
    <w:rsid w:val="009F762B"/>
    <w:rsid w:val="009F7DDD"/>
    <w:rsid w:val="00A04A1C"/>
    <w:rsid w:val="00A0529D"/>
    <w:rsid w:val="00A117E4"/>
    <w:rsid w:val="00A11E71"/>
    <w:rsid w:val="00A12437"/>
    <w:rsid w:val="00A15A86"/>
    <w:rsid w:val="00A2407B"/>
    <w:rsid w:val="00A250EA"/>
    <w:rsid w:val="00A258BE"/>
    <w:rsid w:val="00A31CF7"/>
    <w:rsid w:val="00A3726E"/>
    <w:rsid w:val="00A41496"/>
    <w:rsid w:val="00A50FE0"/>
    <w:rsid w:val="00A515AD"/>
    <w:rsid w:val="00A5268A"/>
    <w:rsid w:val="00A52E37"/>
    <w:rsid w:val="00A542BB"/>
    <w:rsid w:val="00A619B4"/>
    <w:rsid w:val="00A61EC9"/>
    <w:rsid w:val="00A626D1"/>
    <w:rsid w:val="00A65618"/>
    <w:rsid w:val="00A67875"/>
    <w:rsid w:val="00A7289E"/>
    <w:rsid w:val="00A74288"/>
    <w:rsid w:val="00A76AF3"/>
    <w:rsid w:val="00A76B11"/>
    <w:rsid w:val="00A81F78"/>
    <w:rsid w:val="00A835E4"/>
    <w:rsid w:val="00A840E8"/>
    <w:rsid w:val="00A8430C"/>
    <w:rsid w:val="00A861FF"/>
    <w:rsid w:val="00A86C84"/>
    <w:rsid w:val="00A87E32"/>
    <w:rsid w:val="00A93225"/>
    <w:rsid w:val="00A94118"/>
    <w:rsid w:val="00AA2B15"/>
    <w:rsid w:val="00AA3732"/>
    <w:rsid w:val="00AA45D2"/>
    <w:rsid w:val="00AA47F7"/>
    <w:rsid w:val="00AA590D"/>
    <w:rsid w:val="00AA6908"/>
    <w:rsid w:val="00AB1808"/>
    <w:rsid w:val="00AB190A"/>
    <w:rsid w:val="00AB312B"/>
    <w:rsid w:val="00AB320D"/>
    <w:rsid w:val="00AB323E"/>
    <w:rsid w:val="00AB5509"/>
    <w:rsid w:val="00AB582F"/>
    <w:rsid w:val="00AC049A"/>
    <w:rsid w:val="00AC4143"/>
    <w:rsid w:val="00AC4921"/>
    <w:rsid w:val="00AD1343"/>
    <w:rsid w:val="00AD77C4"/>
    <w:rsid w:val="00AE5FDB"/>
    <w:rsid w:val="00AE760E"/>
    <w:rsid w:val="00AE7CAA"/>
    <w:rsid w:val="00AF4FBC"/>
    <w:rsid w:val="00AF6502"/>
    <w:rsid w:val="00B01E0F"/>
    <w:rsid w:val="00B026C6"/>
    <w:rsid w:val="00B044F8"/>
    <w:rsid w:val="00B05920"/>
    <w:rsid w:val="00B07F51"/>
    <w:rsid w:val="00B12482"/>
    <w:rsid w:val="00B14306"/>
    <w:rsid w:val="00B14788"/>
    <w:rsid w:val="00B14841"/>
    <w:rsid w:val="00B150D3"/>
    <w:rsid w:val="00B16EAB"/>
    <w:rsid w:val="00B21914"/>
    <w:rsid w:val="00B23562"/>
    <w:rsid w:val="00B23E40"/>
    <w:rsid w:val="00B274AB"/>
    <w:rsid w:val="00B31B62"/>
    <w:rsid w:val="00B33DE3"/>
    <w:rsid w:val="00B37ACA"/>
    <w:rsid w:val="00B410D3"/>
    <w:rsid w:val="00B41152"/>
    <w:rsid w:val="00B42D5E"/>
    <w:rsid w:val="00B47F1D"/>
    <w:rsid w:val="00B50C83"/>
    <w:rsid w:val="00B52AE9"/>
    <w:rsid w:val="00B54E2D"/>
    <w:rsid w:val="00B63F90"/>
    <w:rsid w:val="00B6472B"/>
    <w:rsid w:val="00B66FF0"/>
    <w:rsid w:val="00B6701B"/>
    <w:rsid w:val="00B67D96"/>
    <w:rsid w:val="00B70A42"/>
    <w:rsid w:val="00B751CA"/>
    <w:rsid w:val="00B767A5"/>
    <w:rsid w:val="00B80D24"/>
    <w:rsid w:val="00B81016"/>
    <w:rsid w:val="00B82941"/>
    <w:rsid w:val="00B83A02"/>
    <w:rsid w:val="00B83FEE"/>
    <w:rsid w:val="00B858EF"/>
    <w:rsid w:val="00B8610B"/>
    <w:rsid w:val="00B8651E"/>
    <w:rsid w:val="00B865DC"/>
    <w:rsid w:val="00B866C7"/>
    <w:rsid w:val="00B87C35"/>
    <w:rsid w:val="00B903DB"/>
    <w:rsid w:val="00B96E6B"/>
    <w:rsid w:val="00B97562"/>
    <w:rsid w:val="00BA04C1"/>
    <w:rsid w:val="00BA3171"/>
    <w:rsid w:val="00BA5952"/>
    <w:rsid w:val="00BA5C6F"/>
    <w:rsid w:val="00BA7D49"/>
    <w:rsid w:val="00BB4DB0"/>
    <w:rsid w:val="00BB522F"/>
    <w:rsid w:val="00BB6F7D"/>
    <w:rsid w:val="00BC12DF"/>
    <w:rsid w:val="00BC3C14"/>
    <w:rsid w:val="00BC6561"/>
    <w:rsid w:val="00BD1513"/>
    <w:rsid w:val="00BD17B0"/>
    <w:rsid w:val="00BD1B20"/>
    <w:rsid w:val="00BD35CD"/>
    <w:rsid w:val="00BD41B7"/>
    <w:rsid w:val="00BD52A6"/>
    <w:rsid w:val="00BD5458"/>
    <w:rsid w:val="00BD5D3D"/>
    <w:rsid w:val="00BE0E83"/>
    <w:rsid w:val="00BE243F"/>
    <w:rsid w:val="00BE2B45"/>
    <w:rsid w:val="00BE3014"/>
    <w:rsid w:val="00BE44D5"/>
    <w:rsid w:val="00BE4667"/>
    <w:rsid w:val="00BE62D7"/>
    <w:rsid w:val="00BE6778"/>
    <w:rsid w:val="00BE7FF2"/>
    <w:rsid w:val="00BF12F5"/>
    <w:rsid w:val="00BF552C"/>
    <w:rsid w:val="00C02BC1"/>
    <w:rsid w:val="00C0479A"/>
    <w:rsid w:val="00C04E47"/>
    <w:rsid w:val="00C050B8"/>
    <w:rsid w:val="00C0527B"/>
    <w:rsid w:val="00C05DAA"/>
    <w:rsid w:val="00C0639B"/>
    <w:rsid w:val="00C1218A"/>
    <w:rsid w:val="00C12502"/>
    <w:rsid w:val="00C12F21"/>
    <w:rsid w:val="00C1378E"/>
    <w:rsid w:val="00C146BD"/>
    <w:rsid w:val="00C15F06"/>
    <w:rsid w:val="00C160EC"/>
    <w:rsid w:val="00C17D58"/>
    <w:rsid w:val="00C17F52"/>
    <w:rsid w:val="00C22E58"/>
    <w:rsid w:val="00C24F7F"/>
    <w:rsid w:val="00C26DA5"/>
    <w:rsid w:val="00C30E75"/>
    <w:rsid w:val="00C31564"/>
    <w:rsid w:val="00C32ED6"/>
    <w:rsid w:val="00C34491"/>
    <w:rsid w:val="00C36385"/>
    <w:rsid w:val="00C37C8A"/>
    <w:rsid w:val="00C41461"/>
    <w:rsid w:val="00C4165F"/>
    <w:rsid w:val="00C42A70"/>
    <w:rsid w:val="00C42D41"/>
    <w:rsid w:val="00C44BD6"/>
    <w:rsid w:val="00C46EE1"/>
    <w:rsid w:val="00C500B4"/>
    <w:rsid w:val="00C504C6"/>
    <w:rsid w:val="00C50801"/>
    <w:rsid w:val="00C508BB"/>
    <w:rsid w:val="00C5296F"/>
    <w:rsid w:val="00C60E4E"/>
    <w:rsid w:val="00C61152"/>
    <w:rsid w:val="00C612D6"/>
    <w:rsid w:val="00C615D0"/>
    <w:rsid w:val="00C619FA"/>
    <w:rsid w:val="00C624EE"/>
    <w:rsid w:val="00C63B7A"/>
    <w:rsid w:val="00C6502E"/>
    <w:rsid w:val="00C67C14"/>
    <w:rsid w:val="00C70276"/>
    <w:rsid w:val="00C72EB7"/>
    <w:rsid w:val="00C74F9A"/>
    <w:rsid w:val="00C760FD"/>
    <w:rsid w:val="00C816A4"/>
    <w:rsid w:val="00C850AE"/>
    <w:rsid w:val="00C85FA6"/>
    <w:rsid w:val="00C91369"/>
    <w:rsid w:val="00CA06B7"/>
    <w:rsid w:val="00CA0A21"/>
    <w:rsid w:val="00CA2B18"/>
    <w:rsid w:val="00CA3827"/>
    <w:rsid w:val="00CA3AF8"/>
    <w:rsid w:val="00CA3F75"/>
    <w:rsid w:val="00CA6B2B"/>
    <w:rsid w:val="00CA6F7D"/>
    <w:rsid w:val="00CB1844"/>
    <w:rsid w:val="00CB290F"/>
    <w:rsid w:val="00CB43A0"/>
    <w:rsid w:val="00CB4658"/>
    <w:rsid w:val="00CB51F0"/>
    <w:rsid w:val="00CC1A09"/>
    <w:rsid w:val="00CC33E4"/>
    <w:rsid w:val="00CC35CB"/>
    <w:rsid w:val="00CC50AB"/>
    <w:rsid w:val="00CC6AE0"/>
    <w:rsid w:val="00CD0110"/>
    <w:rsid w:val="00CD01F9"/>
    <w:rsid w:val="00CD05DC"/>
    <w:rsid w:val="00CD2594"/>
    <w:rsid w:val="00CD2ACB"/>
    <w:rsid w:val="00CD2F71"/>
    <w:rsid w:val="00CD5682"/>
    <w:rsid w:val="00CD7BC5"/>
    <w:rsid w:val="00CE05F1"/>
    <w:rsid w:val="00CE0854"/>
    <w:rsid w:val="00CE0D87"/>
    <w:rsid w:val="00CE2BF1"/>
    <w:rsid w:val="00CE42ED"/>
    <w:rsid w:val="00CF1D33"/>
    <w:rsid w:val="00CF4EB6"/>
    <w:rsid w:val="00CF67BC"/>
    <w:rsid w:val="00D0005B"/>
    <w:rsid w:val="00D02C3B"/>
    <w:rsid w:val="00D03D22"/>
    <w:rsid w:val="00D04A2C"/>
    <w:rsid w:val="00D1033B"/>
    <w:rsid w:val="00D1200C"/>
    <w:rsid w:val="00D1274E"/>
    <w:rsid w:val="00D12FB7"/>
    <w:rsid w:val="00D13729"/>
    <w:rsid w:val="00D13C7D"/>
    <w:rsid w:val="00D14B44"/>
    <w:rsid w:val="00D15C74"/>
    <w:rsid w:val="00D15D5D"/>
    <w:rsid w:val="00D202FB"/>
    <w:rsid w:val="00D20416"/>
    <w:rsid w:val="00D20CD9"/>
    <w:rsid w:val="00D2598A"/>
    <w:rsid w:val="00D309DB"/>
    <w:rsid w:val="00D3113D"/>
    <w:rsid w:val="00D313CB"/>
    <w:rsid w:val="00D32D2B"/>
    <w:rsid w:val="00D3324D"/>
    <w:rsid w:val="00D353A8"/>
    <w:rsid w:val="00D35427"/>
    <w:rsid w:val="00D407AD"/>
    <w:rsid w:val="00D45CA3"/>
    <w:rsid w:val="00D47189"/>
    <w:rsid w:val="00D507C7"/>
    <w:rsid w:val="00D50C3A"/>
    <w:rsid w:val="00D529CB"/>
    <w:rsid w:val="00D53011"/>
    <w:rsid w:val="00D53C68"/>
    <w:rsid w:val="00D56CFA"/>
    <w:rsid w:val="00D5717A"/>
    <w:rsid w:val="00D600AB"/>
    <w:rsid w:val="00D62A0A"/>
    <w:rsid w:val="00D65B2A"/>
    <w:rsid w:val="00D65BDE"/>
    <w:rsid w:val="00D660A3"/>
    <w:rsid w:val="00D669B8"/>
    <w:rsid w:val="00D67A46"/>
    <w:rsid w:val="00D67D93"/>
    <w:rsid w:val="00D71111"/>
    <w:rsid w:val="00D86732"/>
    <w:rsid w:val="00D87602"/>
    <w:rsid w:val="00D90133"/>
    <w:rsid w:val="00D90699"/>
    <w:rsid w:val="00D92D4F"/>
    <w:rsid w:val="00D93E1F"/>
    <w:rsid w:val="00D97381"/>
    <w:rsid w:val="00D974F6"/>
    <w:rsid w:val="00DA0361"/>
    <w:rsid w:val="00DA1013"/>
    <w:rsid w:val="00DA2C16"/>
    <w:rsid w:val="00DA75CE"/>
    <w:rsid w:val="00DB1870"/>
    <w:rsid w:val="00DB7618"/>
    <w:rsid w:val="00DD077B"/>
    <w:rsid w:val="00DD21F2"/>
    <w:rsid w:val="00DD585F"/>
    <w:rsid w:val="00DE4255"/>
    <w:rsid w:val="00DF01D8"/>
    <w:rsid w:val="00DF0D9C"/>
    <w:rsid w:val="00DF3FCB"/>
    <w:rsid w:val="00DF5093"/>
    <w:rsid w:val="00DF5A4E"/>
    <w:rsid w:val="00DF68FA"/>
    <w:rsid w:val="00DF77FD"/>
    <w:rsid w:val="00E0021F"/>
    <w:rsid w:val="00E01521"/>
    <w:rsid w:val="00E01AB5"/>
    <w:rsid w:val="00E101E6"/>
    <w:rsid w:val="00E12FFA"/>
    <w:rsid w:val="00E20E29"/>
    <w:rsid w:val="00E246E2"/>
    <w:rsid w:val="00E251CB"/>
    <w:rsid w:val="00E26182"/>
    <w:rsid w:val="00E26355"/>
    <w:rsid w:val="00E263EB"/>
    <w:rsid w:val="00E27B3D"/>
    <w:rsid w:val="00E31AC8"/>
    <w:rsid w:val="00E31C88"/>
    <w:rsid w:val="00E34138"/>
    <w:rsid w:val="00E35DC8"/>
    <w:rsid w:val="00E41575"/>
    <w:rsid w:val="00E47A3F"/>
    <w:rsid w:val="00E5745C"/>
    <w:rsid w:val="00E60E93"/>
    <w:rsid w:val="00E62860"/>
    <w:rsid w:val="00E62D4E"/>
    <w:rsid w:val="00E64CC5"/>
    <w:rsid w:val="00E64FF7"/>
    <w:rsid w:val="00E70229"/>
    <w:rsid w:val="00E70378"/>
    <w:rsid w:val="00E70987"/>
    <w:rsid w:val="00E72DCE"/>
    <w:rsid w:val="00E763AC"/>
    <w:rsid w:val="00E771DA"/>
    <w:rsid w:val="00E77425"/>
    <w:rsid w:val="00E77D6E"/>
    <w:rsid w:val="00E8078E"/>
    <w:rsid w:val="00E82A21"/>
    <w:rsid w:val="00E85598"/>
    <w:rsid w:val="00E9226B"/>
    <w:rsid w:val="00EA04F1"/>
    <w:rsid w:val="00EA3BBB"/>
    <w:rsid w:val="00EA50E2"/>
    <w:rsid w:val="00EA727C"/>
    <w:rsid w:val="00EA7994"/>
    <w:rsid w:val="00EB395D"/>
    <w:rsid w:val="00EB5B25"/>
    <w:rsid w:val="00EB6567"/>
    <w:rsid w:val="00EC0F48"/>
    <w:rsid w:val="00EC1064"/>
    <w:rsid w:val="00EC2A3B"/>
    <w:rsid w:val="00EC34F2"/>
    <w:rsid w:val="00EC3F33"/>
    <w:rsid w:val="00EC3FF0"/>
    <w:rsid w:val="00EC7173"/>
    <w:rsid w:val="00ED1B6C"/>
    <w:rsid w:val="00ED774A"/>
    <w:rsid w:val="00EE2088"/>
    <w:rsid w:val="00EE4EDC"/>
    <w:rsid w:val="00EE5234"/>
    <w:rsid w:val="00EE5B03"/>
    <w:rsid w:val="00EE65BC"/>
    <w:rsid w:val="00EE79A6"/>
    <w:rsid w:val="00EF08BC"/>
    <w:rsid w:val="00EF24F6"/>
    <w:rsid w:val="00EF50CD"/>
    <w:rsid w:val="00F000E0"/>
    <w:rsid w:val="00F006D1"/>
    <w:rsid w:val="00F044A2"/>
    <w:rsid w:val="00F117A4"/>
    <w:rsid w:val="00F132B3"/>
    <w:rsid w:val="00F1403A"/>
    <w:rsid w:val="00F1493B"/>
    <w:rsid w:val="00F160D5"/>
    <w:rsid w:val="00F17282"/>
    <w:rsid w:val="00F17E4A"/>
    <w:rsid w:val="00F20BCD"/>
    <w:rsid w:val="00F215A8"/>
    <w:rsid w:val="00F26F40"/>
    <w:rsid w:val="00F350CC"/>
    <w:rsid w:val="00F35609"/>
    <w:rsid w:val="00F36B79"/>
    <w:rsid w:val="00F36B7F"/>
    <w:rsid w:val="00F370AB"/>
    <w:rsid w:val="00F40B7B"/>
    <w:rsid w:val="00F44F5A"/>
    <w:rsid w:val="00F46EFB"/>
    <w:rsid w:val="00F47EFB"/>
    <w:rsid w:val="00F54C01"/>
    <w:rsid w:val="00F6074E"/>
    <w:rsid w:val="00F61773"/>
    <w:rsid w:val="00F62646"/>
    <w:rsid w:val="00F62DD7"/>
    <w:rsid w:val="00F667B1"/>
    <w:rsid w:val="00F6718D"/>
    <w:rsid w:val="00F71B41"/>
    <w:rsid w:val="00F747C7"/>
    <w:rsid w:val="00F814AB"/>
    <w:rsid w:val="00F82696"/>
    <w:rsid w:val="00F96871"/>
    <w:rsid w:val="00FA0EED"/>
    <w:rsid w:val="00FA2287"/>
    <w:rsid w:val="00FA3D82"/>
    <w:rsid w:val="00FA4447"/>
    <w:rsid w:val="00FA447C"/>
    <w:rsid w:val="00FA62F0"/>
    <w:rsid w:val="00FA6B47"/>
    <w:rsid w:val="00FA6FF1"/>
    <w:rsid w:val="00FC17BC"/>
    <w:rsid w:val="00FC321C"/>
    <w:rsid w:val="00FC5CA5"/>
    <w:rsid w:val="00FC7B4E"/>
    <w:rsid w:val="00FD21C1"/>
    <w:rsid w:val="00FD2F04"/>
    <w:rsid w:val="00FD78AF"/>
    <w:rsid w:val="00FE0616"/>
    <w:rsid w:val="00FE0A0B"/>
    <w:rsid w:val="00FE0A5C"/>
    <w:rsid w:val="00FE499A"/>
    <w:rsid w:val="00FE4B5F"/>
    <w:rsid w:val="00FE5098"/>
    <w:rsid w:val="00FF21EE"/>
    <w:rsid w:val="00FF3127"/>
    <w:rsid w:val="00FF37A5"/>
    <w:rsid w:val="00FF4B13"/>
    <w:rsid w:val="00FF6466"/>
    <w:rsid w:val="0D3A01A5"/>
    <w:rsid w:val="0E2A646C"/>
    <w:rsid w:val="13A1578A"/>
    <w:rsid w:val="1CE95744"/>
    <w:rsid w:val="3CC64D02"/>
    <w:rsid w:val="538928BA"/>
    <w:rsid w:val="589046EA"/>
    <w:rsid w:val="63117E52"/>
    <w:rsid w:val="7B0731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16D63"/>
  <w15:docId w15:val="{05E4E39D-5E9A-47DA-B290-5BB7C315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NewRomanPSMT" w:eastAsiaTheme="minorEastAsia" w:hAnsi="TimesNewRomanPSMT" w:cs="TimesNewRomanPSMT"/>
        <w:lang w:val="en-US" w:eastAsia="zh-CN" w:bidi="ar-SA"/>
      </w:rPr>
    </w:rPrDefault>
    <w:pPrDefault/>
  </w:docDefaults>
  <w:latentStyles w:defLockedState="0" w:defUIPriority="99"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99"/>
    <w:qForma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sz w:val="24"/>
      <w:szCs w:val="22"/>
      <w:lang w:val="en-GB" w:eastAsia="en-GB"/>
    </w:rPr>
  </w:style>
  <w:style w:type="paragraph" w:styleId="1">
    <w:name w:val="heading 1"/>
    <w:basedOn w:val="a0"/>
    <w:next w:val="a0"/>
    <w:link w:val="10"/>
    <w:uiPriority w:val="9"/>
    <w:qFormat/>
    <w:pPr>
      <w:keepNext/>
      <w:spacing w:before="360" w:after="90"/>
      <w:outlineLvl w:val="0"/>
    </w:pPr>
    <w:rPr>
      <w:rFonts w:ascii="Calibri" w:eastAsia="Times New Roman" w:hAnsi="Calibri" w:cs="Times New Roman"/>
      <w:b/>
      <w:bCs/>
      <w:kern w:val="32"/>
      <w:sz w:val="28"/>
      <w:szCs w:val="26"/>
    </w:rPr>
  </w:style>
  <w:style w:type="paragraph" w:styleId="2">
    <w:name w:val="heading 2"/>
    <w:basedOn w:val="a0"/>
    <w:next w:val="a0"/>
    <w:link w:val="20"/>
    <w:uiPriority w:val="9"/>
    <w:unhideWhenUsed/>
    <w:qFormat/>
    <w:pPr>
      <w:keepNext/>
      <w:spacing w:before="240" w:after="60"/>
      <w:outlineLvl w:val="1"/>
    </w:pPr>
    <w:rPr>
      <w:rFonts w:ascii="Calibri" w:eastAsia="Times New Roman" w:hAnsi="Calibri" w:cs="Times New Roman"/>
      <w:b/>
      <w:bCs/>
      <w:iCs/>
      <w:szCs w:val="26"/>
    </w:rPr>
  </w:style>
  <w:style w:type="paragraph" w:styleId="3">
    <w:name w:val="heading 3"/>
    <w:basedOn w:val="a0"/>
    <w:next w:val="a0"/>
    <w:link w:val="30"/>
    <w:uiPriority w:val="9"/>
    <w:unhideWhenUsed/>
    <w:qFormat/>
    <w:pPr>
      <w:keepNext/>
      <w:spacing w:after="60"/>
      <w:outlineLvl w:val="2"/>
    </w:pPr>
    <w:rPr>
      <w:rFonts w:ascii="Calibri" w:eastAsia="Times New Roman" w:hAnsi="Calibri" w:cs="Times New Roman"/>
      <w:b/>
      <w:bCs/>
      <w: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link w:val="a5"/>
    <w:uiPriority w:val="35"/>
    <w:unhideWhenUsed/>
    <w:qFormat/>
    <w:rPr>
      <w:rFonts w:asciiTheme="majorHAnsi" w:eastAsia="黑体" w:hAnsiTheme="majorHAnsi" w:cstheme="majorBidi"/>
      <w:sz w:val="20"/>
      <w:szCs w:val="20"/>
    </w:rPr>
  </w:style>
  <w:style w:type="paragraph" w:styleId="a6">
    <w:name w:val="Document Map"/>
    <w:basedOn w:val="a0"/>
    <w:link w:val="a7"/>
    <w:uiPriority w:val="99"/>
    <w:semiHidden/>
    <w:unhideWhenUsed/>
    <w:pPr>
      <w:spacing w:before="0" w:line="240" w:lineRule="auto"/>
    </w:pPr>
    <w:rPr>
      <w:rFonts w:ascii="Times New Roman" w:hAnsi="Times New Roman" w:cs="Times New Roman"/>
      <w:szCs w:val="24"/>
    </w:rPr>
  </w:style>
  <w:style w:type="paragraph" w:styleId="a8">
    <w:name w:val="annotation text"/>
    <w:basedOn w:val="a0"/>
    <w:link w:val="a9"/>
    <w:uiPriority w:val="99"/>
    <w:unhideWhenUsed/>
    <w:pPr>
      <w:spacing w:line="240" w:lineRule="auto"/>
    </w:pPr>
    <w:rPr>
      <w:sz w:val="20"/>
      <w:szCs w:val="20"/>
    </w:rPr>
  </w:style>
  <w:style w:type="paragraph" w:styleId="aa">
    <w:name w:val="endnote text"/>
    <w:basedOn w:val="a0"/>
    <w:link w:val="ab"/>
    <w:uiPriority w:val="99"/>
    <w:unhideWhenUsed/>
    <w:qFormat/>
    <w:pPr>
      <w:spacing w:before="0" w:line="240" w:lineRule="auto"/>
    </w:pPr>
    <w:rPr>
      <w:szCs w:val="24"/>
    </w:rPr>
  </w:style>
  <w:style w:type="paragraph" w:styleId="ac">
    <w:name w:val="Balloon Text"/>
    <w:basedOn w:val="a0"/>
    <w:link w:val="ad"/>
    <w:uiPriority w:val="99"/>
    <w:semiHidden/>
    <w:unhideWhenUsed/>
    <w:pPr>
      <w:spacing w:before="0" w:line="240" w:lineRule="auto"/>
    </w:pPr>
    <w:rPr>
      <w:rFonts w:ascii="Times New Roman" w:hAnsi="Times New Roman" w:cs="Times New Roman"/>
      <w:sz w:val="18"/>
      <w:szCs w:val="18"/>
    </w:rPr>
  </w:style>
  <w:style w:type="paragraph" w:styleId="ae">
    <w:name w:val="footer"/>
    <w:basedOn w:val="a0"/>
    <w:link w:val="af"/>
    <w:uiPriority w:val="99"/>
    <w:unhideWhenUse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paragraph" w:styleId="af0">
    <w:name w:val="header"/>
    <w:basedOn w:val="a0"/>
    <w:link w:val="af1"/>
    <w:uiPriority w:val="99"/>
    <w:unhideWhenUse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paragraph" w:styleId="af2">
    <w:name w:val="Subtitle"/>
    <w:basedOn w:val="a0"/>
    <w:next w:val="a0"/>
    <w:link w:val="af3"/>
    <w:uiPriority w:val="11"/>
    <w:qFormat/>
    <w:pPr>
      <w:spacing w:after="160"/>
    </w:pPr>
    <w:rPr>
      <w:rFonts w:asciiTheme="minorHAnsi" w:hAnsiTheme="minorHAnsi" w:cstheme="minorBidi"/>
      <w:color w:val="595959" w:themeColor="text1" w:themeTint="A6"/>
      <w:spacing w:val="15"/>
    </w:rPr>
  </w:style>
  <w:style w:type="paragraph" w:styleId="af4">
    <w:name w:val="Normal (Web)"/>
    <w:basedOn w:val="a0"/>
    <w:uiPriority w:val="99"/>
    <w:semiHidden/>
    <w:unhideWhenUse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hAnsi="Times New Roman" w:cs="Times New Roman"/>
      <w:szCs w:val="24"/>
    </w:rPr>
  </w:style>
  <w:style w:type="paragraph" w:styleId="af5">
    <w:name w:val="Title"/>
    <w:basedOn w:val="1"/>
    <w:next w:val="a0"/>
    <w:link w:val="af6"/>
    <w:uiPriority w:val="10"/>
    <w:qFormat/>
    <w:pPr>
      <w:spacing w:before="480" w:after="120"/>
    </w:pPr>
    <w:rPr>
      <w:sz w:val="32"/>
    </w:rPr>
  </w:style>
  <w:style w:type="paragraph" w:styleId="af7">
    <w:name w:val="annotation subject"/>
    <w:basedOn w:val="a8"/>
    <w:next w:val="a8"/>
    <w:link w:val="af8"/>
    <w:uiPriority w:val="99"/>
    <w:semiHidden/>
    <w:unhideWhenUsed/>
    <w:rPr>
      <w:b/>
      <w:bCs/>
    </w:rPr>
  </w:style>
  <w:style w:type="table" w:styleId="af9">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endnote reference"/>
    <w:basedOn w:val="a1"/>
    <w:uiPriority w:val="99"/>
    <w:unhideWhenUsed/>
    <w:qFormat/>
    <w:rPr>
      <w:vertAlign w:val="superscript"/>
    </w:rPr>
  </w:style>
  <w:style w:type="character" w:styleId="afb">
    <w:name w:val="page number"/>
    <w:basedOn w:val="a1"/>
    <w:uiPriority w:val="99"/>
    <w:semiHidden/>
    <w:unhideWhenUsed/>
    <w:qFormat/>
  </w:style>
  <w:style w:type="character" w:styleId="afc">
    <w:name w:val="FollowedHyperlink"/>
    <w:basedOn w:val="a1"/>
    <w:uiPriority w:val="99"/>
    <w:semiHidden/>
    <w:unhideWhenUsed/>
    <w:rPr>
      <w:color w:val="954F72" w:themeColor="followedHyperlink"/>
      <w:u w:val="single"/>
    </w:rPr>
  </w:style>
  <w:style w:type="character" w:styleId="afd">
    <w:name w:val="Hyperlink"/>
    <w:basedOn w:val="a1"/>
    <w:uiPriority w:val="99"/>
    <w:unhideWhenUsed/>
    <w:rPr>
      <w:color w:val="0563C1" w:themeColor="hyperlink"/>
      <w:u w:val="single"/>
    </w:rPr>
  </w:style>
  <w:style w:type="character" w:styleId="afe">
    <w:name w:val="annotation reference"/>
    <w:basedOn w:val="a1"/>
    <w:uiPriority w:val="99"/>
    <w:semiHidden/>
    <w:unhideWhenUsed/>
    <w:rPr>
      <w:sz w:val="16"/>
      <w:szCs w:val="16"/>
    </w:rPr>
  </w:style>
  <w:style w:type="paragraph" w:styleId="a">
    <w:name w:val="List Paragraph"/>
    <w:basedOn w:val="a0"/>
    <w:uiPriority w:val="34"/>
    <w:qFormat/>
    <w:pPr>
      <w:numPr>
        <w:numId w:val="1"/>
      </w:numPr>
      <w:spacing w:before="40"/>
      <w:ind w:left="568" w:hanging="284"/>
    </w:pPr>
  </w:style>
  <w:style w:type="character" w:customStyle="1" w:styleId="10">
    <w:name w:val="标题 1 字符"/>
    <w:link w:val="1"/>
    <w:uiPriority w:val="9"/>
    <w:rPr>
      <w:rFonts w:ascii="Calibri" w:eastAsia="Times New Roman" w:hAnsi="Calibri" w:cs="Times New Roman"/>
      <w:b/>
      <w:bCs/>
      <w:kern w:val="32"/>
      <w:sz w:val="28"/>
      <w:szCs w:val="26"/>
    </w:rPr>
  </w:style>
  <w:style w:type="character" w:customStyle="1" w:styleId="20">
    <w:name w:val="标题 2 字符"/>
    <w:link w:val="2"/>
    <w:uiPriority w:val="9"/>
    <w:rPr>
      <w:rFonts w:ascii="Calibri" w:eastAsia="Times New Roman" w:hAnsi="Calibri" w:cs="Times New Roman"/>
      <w:b/>
      <w:bCs/>
      <w:iCs/>
      <w:sz w:val="24"/>
      <w:szCs w:val="26"/>
    </w:rPr>
  </w:style>
  <w:style w:type="character" w:customStyle="1" w:styleId="30">
    <w:name w:val="标题 3 字符"/>
    <w:link w:val="3"/>
    <w:uiPriority w:val="9"/>
    <w:qFormat/>
    <w:rPr>
      <w:rFonts w:ascii="Calibri" w:eastAsia="Times New Roman" w:hAnsi="Calibri" w:cs="Times New Roman"/>
      <w:b/>
      <w:bCs/>
      <w:i/>
      <w:sz w:val="22"/>
      <w:szCs w:val="24"/>
    </w:rPr>
  </w:style>
  <w:style w:type="character" w:customStyle="1" w:styleId="ad">
    <w:name w:val="批注框文本 字符"/>
    <w:basedOn w:val="a1"/>
    <w:link w:val="ac"/>
    <w:uiPriority w:val="99"/>
    <w:semiHidden/>
    <w:qFormat/>
    <w:rPr>
      <w:rFonts w:ascii="Times New Roman" w:hAnsi="Times New Roman" w:cs="Times New Roman"/>
      <w:sz w:val="18"/>
      <w:szCs w:val="18"/>
    </w:rPr>
  </w:style>
  <w:style w:type="character" w:customStyle="1" w:styleId="a9">
    <w:name w:val="批注文字 字符"/>
    <w:basedOn w:val="a1"/>
    <w:link w:val="a8"/>
    <w:uiPriority w:val="99"/>
  </w:style>
  <w:style w:type="character" w:customStyle="1" w:styleId="af8">
    <w:name w:val="批注主题 字符"/>
    <w:basedOn w:val="a9"/>
    <w:link w:val="af7"/>
    <w:uiPriority w:val="99"/>
    <w:semiHidden/>
    <w:qFormat/>
    <w:rPr>
      <w:b/>
      <w:bCs/>
    </w:rPr>
  </w:style>
  <w:style w:type="paragraph" w:customStyle="1" w:styleId="11">
    <w:name w:val="修订1"/>
    <w:hidden/>
    <w:uiPriority w:val="99"/>
    <w:semiHidden/>
    <w:rPr>
      <w:sz w:val="24"/>
      <w:szCs w:val="22"/>
      <w:lang w:val="en-GB" w:eastAsia="en-GB"/>
    </w:rPr>
  </w:style>
  <w:style w:type="character" w:customStyle="1" w:styleId="a7">
    <w:name w:val="文档结构图 字符"/>
    <w:basedOn w:val="a1"/>
    <w:link w:val="a6"/>
    <w:uiPriority w:val="99"/>
    <w:semiHidden/>
    <w:rPr>
      <w:rFonts w:ascii="Times New Roman" w:hAnsi="Times New Roman" w:cs="Times New Roman"/>
      <w:sz w:val="24"/>
      <w:szCs w:val="24"/>
    </w:rPr>
  </w:style>
  <w:style w:type="character" w:styleId="aff">
    <w:name w:val="Placeholder Text"/>
    <w:basedOn w:val="a1"/>
    <w:uiPriority w:val="99"/>
    <w:semiHidden/>
    <w:rPr>
      <w:color w:val="808080"/>
    </w:rPr>
  </w:style>
  <w:style w:type="character" w:customStyle="1" w:styleId="af6">
    <w:name w:val="标题 字符"/>
    <w:basedOn w:val="a1"/>
    <w:link w:val="af5"/>
    <w:uiPriority w:val="10"/>
    <w:rPr>
      <w:rFonts w:ascii="Calibri" w:eastAsia="Times New Roman" w:hAnsi="Calibri" w:cs="Times New Roman"/>
      <w:b/>
      <w:bCs/>
      <w:kern w:val="32"/>
      <w:sz w:val="32"/>
      <w:szCs w:val="26"/>
    </w:rPr>
  </w:style>
  <w:style w:type="character" w:customStyle="1" w:styleId="af3">
    <w:name w:val="副标题 字符"/>
    <w:basedOn w:val="a1"/>
    <w:link w:val="af2"/>
    <w:uiPriority w:val="11"/>
    <w:rPr>
      <w:rFonts w:asciiTheme="minorHAnsi" w:eastAsiaTheme="minorEastAsia" w:hAnsiTheme="minorHAnsi" w:cstheme="minorBidi"/>
      <w:color w:val="595959" w:themeColor="text1" w:themeTint="A6"/>
      <w:spacing w:val="15"/>
      <w:sz w:val="22"/>
      <w:szCs w:val="22"/>
    </w:rPr>
  </w:style>
  <w:style w:type="character" w:customStyle="1" w:styleId="af1">
    <w:name w:val="页眉 字符"/>
    <w:basedOn w:val="a1"/>
    <w:link w:val="af0"/>
    <w:uiPriority w:val="99"/>
    <w:rPr>
      <w:sz w:val="24"/>
      <w:szCs w:val="22"/>
    </w:rPr>
  </w:style>
  <w:style w:type="character" w:customStyle="1" w:styleId="af">
    <w:name w:val="页脚 字符"/>
    <w:basedOn w:val="a1"/>
    <w:link w:val="ae"/>
    <w:uiPriority w:val="99"/>
    <w:rPr>
      <w:sz w:val="24"/>
      <w:szCs w:val="22"/>
    </w:rPr>
  </w:style>
  <w:style w:type="character" w:customStyle="1" w:styleId="ab">
    <w:name w:val="尾注文本 字符"/>
    <w:basedOn w:val="a1"/>
    <w:link w:val="aa"/>
    <w:uiPriority w:val="99"/>
    <w:qFormat/>
    <w:rPr>
      <w:sz w:val="24"/>
      <w:szCs w:val="24"/>
    </w:rPr>
  </w:style>
  <w:style w:type="paragraph" w:customStyle="1" w:styleId="Jens">
    <w:name w:val="Jens"/>
    <w:basedOn w:val="a0"/>
    <w:link w:val="JensChar"/>
    <w:uiPriority w:val="99"/>
    <w:qFormat/>
  </w:style>
  <w:style w:type="character" w:customStyle="1" w:styleId="JensChar">
    <w:name w:val="Jens Char"/>
    <w:basedOn w:val="a1"/>
    <w:link w:val="Jens"/>
    <w:uiPriority w:val="99"/>
    <w:qFormat/>
    <w:rPr>
      <w:sz w:val="22"/>
      <w:szCs w:val="22"/>
    </w:rPr>
  </w:style>
  <w:style w:type="paragraph" w:customStyle="1" w:styleId="12">
    <w:name w:val="书目1"/>
    <w:basedOn w:val="a0"/>
    <w:next w:val="a0"/>
    <w:uiPriority w:val="37"/>
    <w:unhideWhenUsed/>
    <w:qFormat/>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after="240" w:line="240" w:lineRule="auto"/>
    </w:pPr>
  </w:style>
  <w:style w:type="paragraph" w:customStyle="1" w:styleId="13">
    <w:name w:val="样式1"/>
    <w:basedOn w:val="a4"/>
    <w:link w:val="14"/>
    <w:uiPriority w:val="99"/>
    <w:qFormat/>
  </w:style>
  <w:style w:type="character" w:customStyle="1" w:styleId="a5">
    <w:name w:val="题注 字符"/>
    <w:basedOn w:val="a1"/>
    <w:link w:val="a4"/>
    <w:uiPriority w:val="35"/>
    <w:qFormat/>
    <w:rPr>
      <w:rFonts w:asciiTheme="majorHAnsi" w:eastAsia="黑体" w:hAnsiTheme="majorHAnsi" w:cstheme="majorBidi"/>
    </w:rPr>
  </w:style>
  <w:style w:type="character" w:customStyle="1" w:styleId="14">
    <w:name w:val="样式1 字符"/>
    <w:basedOn w:val="a5"/>
    <w:link w:val="13"/>
    <w:uiPriority w:val="99"/>
    <w:qFormat/>
    <w:rPr>
      <w:rFonts w:asciiTheme="majorHAnsi" w:eastAsia="黑体" w:hAnsiTheme="majorHAnsi" w:cstheme="majorBidi"/>
    </w:rPr>
  </w:style>
  <w:style w:type="paragraph" w:styleId="aff0">
    <w:name w:val="Bibliography"/>
    <w:basedOn w:val="a0"/>
    <w:next w:val="a0"/>
    <w:uiPriority w:val="37"/>
    <w:unhideWhenUsed/>
    <w:rsid w:val="004C3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58D57B-2B14-9F44-84C4-D1F9319C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5656</Words>
  <Characters>32242</Characters>
  <Application>Microsoft Office Word</Application>
  <DocSecurity>0</DocSecurity>
  <Lines>268</Lines>
  <Paragraphs>75</Paragraphs>
  <ScaleCrop>false</ScaleCrop>
  <Company/>
  <LinksUpToDate>false</LinksUpToDate>
  <CharactersWithSpaces>37823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D_project</dc:title>
  <dc:creator>Otello</dc:creator>
  <cp:lastModifiedBy>Ge, Tiannan</cp:lastModifiedBy>
  <cp:revision>26</cp:revision>
  <cp:lastPrinted>2018-10-13T18:11:00Z</cp:lastPrinted>
  <dcterms:created xsi:type="dcterms:W3CDTF">2022-11-04T19:05:00Z</dcterms:created>
  <dcterms:modified xsi:type="dcterms:W3CDTF">2022-11-06T19:34:00Z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zotero-version="6.0.16"&gt;&lt;session id="XRxwNZIN"/&gt;&lt;style id="http://www.zotero.org/styles/harvard-cite-them-right" hasBibliography="1" bibliographyStyleHasBeenSet="1"/&gt;&lt;prefs&gt;&lt;pref name="fieldType" value="Field"/&gt;&lt;/prefs&gt;&lt;/data&gt;</vt:lpwstr>
  </property>
  <property fmtid="{D5CDD505-2E9C-101B-9397-08002B2CF9AE}" pid="23" name="KSOProductBuildVer">
    <vt:lpwstr>2052-11.1.0.12598</vt:lpwstr>
  </property>
  <property fmtid="{D5CDD505-2E9C-101B-9397-08002B2CF9AE}" pid="24" name="ICV">
    <vt:lpwstr>1E8DF23488944E9795CA2E9F01D2AC11</vt:lpwstr>
  </property>
  <property fmtid="{D5CDD505-2E9C-101B-9397-08002B2CF9AE}" pid="25" name="GrammarlyDocumentId">
    <vt:lpwstr>b02fdd2a9e2d70e7a66a05fe3708634ebf0bed65deb3468031e6027af370fac1</vt:lpwstr>
  </property>
</Properties>
</file>