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卒中后星形胶质细胞APA事件验证与PAP定位研究方案</w:t>
      </w:r>
    </w:p>
    <w:p>
      <w:pPr>
        <w:pStyle w:val="Heading1"/>
      </w:pPr>
      <w:r>
        <w:t>研究核心问题与证据链</w:t>
      </w:r>
    </w:p>
    <w:p>
      <w:pPr>
        <w:pStyle w:val="Heading2"/>
      </w:pPr>
      <w:r>
        <w:t>核心问题</w:t>
      </w:r>
    </w:p>
    <w:p>
      <w:r>
        <w:t>可以把论文的核心问题收成一句话：在卒中后的星形胶质细胞里，一个经验证的 APA 事件改变了长、短 3′UTR 异构体的比例；这一变化是否使其中一个版本在突触周突起（PAP）中的数量或分布发生改变？</w:t>
      </w:r>
    </w:p>
    <w:p>
      <w:pPr>
        <w:pStyle w:val="Heading2"/>
      </w:pPr>
      <w:r>
        <w:t>证据链的三个问题</w:t>
      </w:r>
    </w:p>
    <w:p>
      <w:r>
        <w:t>这条证据链要依次回答三个问题：切在何处 → 两个 RNA 版本各有多少 → 两个版本各在哪里。</w:t>
      </w:r>
    </w:p>
    <w:p>
      <w:pPr>
        <w:pStyle w:val="Heading1"/>
      </w:pPr>
      <w:r>
        <w:t>研究现状与核查前提</w:t>
      </w:r>
    </w:p>
    <w:p>
      <w:pPr>
        <w:pStyle w:val="Heading2"/>
      </w:pPr>
      <w:r>
        <w:t>已完成工作</w:t>
      </w:r>
    </w:p>
    <w:p>
      <w:r>
        <w:t>目前</w:t>
      </w:r>
      <w:hyperlink r:id="rId9">
        <w:r>
          <w:rPr>
            <w:rFonts w:ascii="Times New Roman" w:hAnsi="Times New Roman" w:eastAsia="宋体"/>
            <w:color w:val="0563C1"/>
            <w:sz w:val="21"/>
            <w:szCs w:val="21"/>
            <w:u w:val="single"/>
          </w:rPr>
          <w:t xml:space="preserve">总报告</w:t>
        </w:r>
      </w:hyperlink>
      <w:r>
        <w:t>主要完成了第一个问题的计算预测。以 Atp2a2 为例，DaPars2 预测它在第 3、7 天偏向使用近端位点；这个位点仍需测序确认。</w:t>
      </w:r>
    </w:p>
    <w:p>
      <w:pPr>
        <w:pStyle w:val="Heading2"/>
      </w:pPr>
      <w:r>
        <w:t>设置核查关口的必要性</w:t>
      </w:r>
    </w:p>
    <w:p>
      <w:r>
        <w:t>DaPars2 与 QAPA 在目前可比较的 27 个重点结果中只有 13 个方向相同，因此选靶前值得设一个有边界的核查关口。两种方法的位点定义和计量范围也可能不同，不能把所有分歧直接判为假阳性。</w:t>
      </w:r>
      <w:hyperlink r:id="rId10">
        <w:r>
          <w:rPr>
            <w:rFonts w:ascii="Times New Roman" w:hAnsi="Times New Roman" w:eastAsia="宋体"/>
            <w:color w:val="0563C1"/>
            <w:sz w:val="21"/>
            <w:szCs w:val="21"/>
            <w:u w:val="single"/>
          </w:rPr>
          <w:t xml:space="preserve">https://pmc.ncbi.nlm.nih.gov/articles/PMC10327023/</w:t>
        </w:r>
      </w:hyperlink>
      <w:r>
        <w:t>对此有明确说明。</w:t>
      </w:r>
    </w:p>
    <w:p>
      <w:pPr>
        <w:pStyle w:val="Heading1"/>
      </w:pPr>
      <w:r>
        <w:t>第一关：只核查少数事件，再定湿实验名单</w:t>
      </w:r>
    </w:p>
    <w:p>
      <w:pPr>
        <w:pStyle w:val="Heading2"/>
      </w:pPr>
      <w:r>
        <w:t>关口范围与事件卡</w:t>
      </w:r>
    </w:p>
    <w:p>
      <w:r>
        <w:t>建议先冻结 Atp2a2，加上 2–4 个备选事件，不重新铺开 977 个事件。每个事件交付一张可追溯的“事件卡”。</w:t>
      </w:r>
    </w:p>
    <w:p>
      <w:pPr>
        <w:pStyle w:val="Heading2"/>
      </w:pPr>
      <w:r>
        <w:t>核对事件身份</w:t>
      </w:r>
    </w:p>
    <w:p>
      <w:r>
        <w:t>从现有结果取 mm10 坐标、链方向、预测近端位点、远端位点及每个样本的 PDUI；对照基因注释和已知 poly(A) 位点库。Atp2a2 当前预测近端坐标为 chr5:122456498，这应写作“预测断点”，暂不当作已证实的剪切位点。</w:t>
      </w:r>
    </w:p>
    <w:p>
      <w:pPr>
        <w:pStyle w:val="Heading2"/>
      </w:pPr>
      <w:r>
        <w:t>逐样本看原始读段</w:t>
      </w:r>
    </w:p>
    <w:p>
      <w:r>
        <w:t>用 IGV 查看 sham 和卒中样本；用 samtools depth 或 bedtools genomecov 输出位点上下游覆盖曲线。检查近端位点之后是否有一致的覆盖变化，同时记录末端外显子、重复区域、比对质量、样本间差异及明显的 3′ 覆盖偏倚。预测位点附近的富 A 序列要单独标记，因为后续 3′RACE 也可能受内部引物结合干扰。</w:t>
      </w:r>
      <w:hyperlink r:id="rId11">
        <w:r>
          <w:rPr>
            <w:rFonts w:ascii="Times New Roman" w:hAnsi="Times New Roman" w:eastAsia="宋体"/>
            <w:color w:val="0563C1"/>
            <w:sz w:val="21"/>
            <w:szCs w:val="21"/>
            <w:u w:val="single"/>
          </w:rPr>
          <w:t xml:space="preserve">https://genome.cshlp.org/content/26/8/1145</w:t>
        </w:r>
      </w:hyperlink>
      <w:r>
        <w:t>说明了这一风险。</w:t>
      </w:r>
    </w:p>
    <w:p>
      <w:pPr>
        <w:pStyle w:val="Heading2"/>
      </w:pPr>
      <w:r>
        <w:t>重新对齐 DaPars2/QAPA 的比较对象</w:t>
      </w:r>
    </w:p>
    <w:p>
      <w:r>
        <w:t>先确认两者指向同一末端外显子、同一对近端/远端位点，再比较同一个“卒中－sham”对比的远端使用比例。对每个反向结果写明原因：位点定义不同、额外异构体、覆盖不足，或在相同定义下仍然相反。最后一种情况应降低该事件的实验优先级。</w:t>
      </w:r>
    </w:p>
    <w:p>
      <w:pPr>
        <w:pStyle w:val="Heading2"/>
      </w:pPr>
      <w:r>
        <w:t>稳定性检查</w:t>
      </w:r>
    </w:p>
    <w:p>
      <w:r>
        <w:t>列出每只小鼠的比例和读段图；分别去掉一个样本重算方向。现有每时间点只有两个卒中样本，稳定性检查只能帮助识别由单样本驱动的事件，不能充当独立重复。</w:t>
      </w:r>
    </w:p>
    <w:p>
      <w:pPr>
        <w:pStyle w:val="Heading2"/>
      </w:pPr>
      <w:r>
        <w:t>关口交付物与进入标准</w:t>
      </w:r>
    </w:p>
    <w:p>
      <w:r>
        <w:t>关口的交付物是一张表（表1）：基因｜预测位点｜逐样本覆盖｜QAPA是否比较同一事件｜方向｜已知位点证据｜PAP线索｜决定。</w:t>
      </w:r>
    </w:p>
    <w:p>
      <w:pPr>
        <w:pStyle w:val="Caption"/>
      </w:pPr>
      <w:r>
        <w:t>表1 第一关事件核查交付表</w:t>
      </w:r>
    </w:p>
    <w:tbl>
      <w:tblPr>
        <w:tblW w:w="9072" w:type="dxa"/>
        <w:jc w:val="center"/>
        <w:tblBorders>
          <w:top w:val="single" w:sz="8" w:space="0" w:color="000000"/>
          <w:bottom w:val="single" w:sz="8" w:space="0" w:color="000000"/>
          <w:left w:val="none" w:sz="0" w:space="0"/>
          <w:right w:val="none" w:sz="0" w:space="0"/>
          <w:insideH w:val="none" w:sz="0" w:space="0"/>
          <w:insideV w:val="none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797"/>
        <w:gridCol w:w="1360"/>
        <w:gridCol w:w="1360"/>
        <w:gridCol w:w="1701"/>
        <w:gridCol w:w="793"/>
        <w:gridCol w:w="1134"/>
        <w:gridCol w:w="793"/>
        <w:gridCol w:w="1134"/>
      </w:tblGrid>
      <w:tr>
        <w:trPr>
          <w:cantSplit/>
          <w:tblHeader/>
        </w:trPr>
        <w:tc>
          <w:tcPr>
            <w:tcW w:type="dxa" w:w="797"/>
            <w:tcBorders>
              <w:bottom w:val="single" w:sz="4" w:space="0" w:color="000000"/>
            </w:tcBorders>
            <w:vAlign w:val="center"/>
          </w:tcPr>
          <w:p>
            <w:pPr>
              <w:pStyle w:val="表格正文"/>
              <w:jc w:val="center"/>
            </w:pPr>
            <w:r>
              <w:rPr>
                <w:b/>
              </w:rPr>
              <w:t>基因</w:t>
            </w:r>
          </w:p>
        </w:tc>
        <w:tc>
          <w:tcPr>
            <w:tcW w:type="dxa" w:w="1360"/>
            <w:tcBorders>
              <w:bottom w:val="single" w:sz="4" w:space="0" w:color="000000"/>
            </w:tcBorders>
            <w:vAlign w:val="center"/>
          </w:tcPr>
          <w:p>
            <w:pPr>
              <w:pStyle w:val="表格正文"/>
              <w:jc w:val="center"/>
            </w:pPr>
            <w:r>
              <w:rPr>
                <w:b/>
              </w:rPr>
              <w:t>预测位点</w:t>
            </w:r>
          </w:p>
        </w:tc>
        <w:tc>
          <w:tcPr>
            <w:tcW w:type="dxa" w:w="1360"/>
            <w:tcBorders>
              <w:bottom w:val="single" w:sz="4" w:space="0" w:color="000000"/>
            </w:tcBorders>
            <w:vAlign w:val="center"/>
          </w:tcPr>
          <w:p>
            <w:pPr>
              <w:pStyle w:val="表格正文"/>
              <w:jc w:val="center"/>
            </w:pPr>
            <w:r>
              <w:rPr>
                <w:b/>
              </w:rPr>
              <w:t>逐样本覆盖</w:t>
            </w:r>
          </w:p>
        </w:tc>
        <w:tc>
          <w:tcPr>
            <w:tcW w:type="dxa" w:w="1701"/>
            <w:tcBorders>
              <w:bottom w:val="single" w:sz="4" w:space="0" w:color="000000"/>
            </w:tcBorders>
            <w:vAlign w:val="center"/>
          </w:tcPr>
          <w:p>
            <w:pPr>
              <w:pStyle w:val="表格正文"/>
              <w:jc w:val="center"/>
            </w:pPr>
            <w:r>
              <w:rPr>
                <w:b/>
              </w:rPr>
              <w:t>QAPA是否比较同一事件</w:t>
            </w:r>
          </w:p>
        </w:tc>
        <w:tc>
          <w:tcPr>
            <w:tcW w:type="dxa" w:w="793"/>
            <w:tcBorders>
              <w:bottom w:val="single" w:sz="4" w:space="0" w:color="000000"/>
            </w:tcBorders>
            <w:vAlign w:val="center"/>
          </w:tcPr>
          <w:p>
            <w:pPr>
              <w:pStyle w:val="表格正文"/>
              <w:jc w:val="center"/>
            </w:pPr>
            <w:r>
              <w:rPr>
                <w:b/>
              </w:rPr>
              <w:t>方向</w:t>
            </w:r>
          </w:p>
        </w:tc>
        <w:tc>
          <w:tcPr>
            <w:tcW w:type="dxa" w:w="1134"/>
            <w:tcBorders>
              <w:bottom w:val="single" w:sz="4" w:space="0" w:color="000000"/>
            </w:tcBorders>
            <w:vAlign w:val="center"/>
          </w:tcPr>
          <w:p>
            <w:pPr>
              <w:pStyle w:val="表格正文"/>
              <w:jc w:val="center"/>
            </w:pPr>
            <w:r>
              <w:rPr>
                <w:b/>
              </w:rPr>
              <w:t>已知位点证据</w:t>
            </w:r>
          </w:p>
        </w:tc>
        <w:tc>
          <w:tcPr>
            <w:tcW w:type="dxa" w:w="793"/>
            <w:tcBorders>
              <w:bottom w:val="single" w:sz="4" w:space="0" w:color="000000"/>
            </w:tcBorders>
            <w:vAlign w:val="center"/>
          </w:tcPr>
          <w:p>
            <w:pPr>
              <w:pStyle w:val="表格正文"/>
              <w:jc w:val="center"/>
            </w:pPr>
            <w:r>
              <w:rPr>
                <w:b/>
              </w:rPr>
              <w:t>PAP线索</w:t>
            </w:r>
          </w:p>
        </w:tc>
        <w:tc>
          <w:tcPr>
            <w:tcW w:type="dxa" w:w="1134"/>
            <w:tcBorders>
              <w:bottom w:val="single" w:sz="4" w:space="0" w:color="000000"/>
            </w:tcBorders>
            <w:vAlign w:val="center"/>
          </w:tcPr>
          <w:p>
            <w:pPr>
              <w:pStyle w:val="表格正文"/>
              <w:jc w:val="center"/>
            </w:pPr>
            <w:r>
              <w:rPr>
                <w:b/>
              </w:rPr>
              <w:t>决定</w:t>
            </w:r>
          </w:p>
        </w:tc>
      </w:tr>
    </w:tbl>
    <w:p>
      <w:r>
        <w:t>只有读段可解释、位点可供设计实验、方向不由单一样本决定的事件进入下一关。若 Atp2a2 在这一关失败，就换用通过核查且具备 PAP 线索的候选；不必因它目前是“三要素案例”而保留。</w:t>
      </w:r>
    </w:p>
    <w:p>
      <w:pPr>
        <w:pStyle w:val="Heading1"/>
      </w:pPr>
      <w:r>
        <w:t>第二关：公共数据只承担筛选任务</w:t>
      </w:r>
    </w:p>
    <w:p>
      <w:pPr>
        <w:pStyle w:val="Heading2"/>
      </w:pPr>
      <w:r>
        <w:t>GSE143531：查“这个基因是否值得做 PAP 定位”</w:t>
      </w:r>
    </w:p>
    <w:p>
      <w:r>
        <w:t>用其 PAP 与全星形胶质细胞的表达数据，核对候选基因能否检出、是否显示 PAP 富集，并与现用的 PAP 参考结果比较。它研究的是健康小鼠背侧海马的 PAP 多核糖体 RNA；GEO 中同一 C1、C2、C3 生物样本各有技术重复，统计时不能把 48 个条目当作 48 只动物。其结果支持基因层面的选靶，尚不能给出卒中后长、短异构体各自的位置。</w:t>
      </w:r>
      <w:hyperlink r:id="rId12">
        <w:r>
          <w:rPr>
            <w:rFonts w:ascii="Times New Roman" w:hAnsi="Times New Roman" w:eastAsia="宋体"/>
            <w:color w:val="0563C1"/>
            <w:sz w:val="21"/>
            <w:szCs w:val="21"/>
            <w:u w:val="single"/>
          </w:rPr>
          <w:t xml:space="preserve">https://www.ncbi.nlm.nih.gov/geo/query/acc.cgi?acc=GSE143531</w:t>
        </w:r>
      </w:hyperlink>
    </w:p>
    <w:p>
      <w:pPr>
        <w:pStyle w:val="Heading2"/>
      </w:pPr>
      <w:r>
        <w:t>GSE330741：查“定位片段实验该怎样设计”</w:t>
      </w:r>
    </w:p>
    <w:p>
      <w:r>
        <w:t>先建立 GSM/SRR → 样本类别 → barcode → 3′UTR 片段对照表，复现论文对照片段的方向，再看候选丢失片段是否实际包含在文库中。这项 SN-MPRA 主要测试 Glt1、Sparc 等序列的定位和局部翻译，可提供 reporter 的阳性对照与分析方法；若没有 Atp2a2 对应片段，就不给它记一条 Atp2a2 功能证据。</w:t>
      </w:r>
      <w:hyperlink r:id="rId13">
        <w:r>
          <w:rPr>
            <w:rFonts w:ascii="Times New Roman" w:hAnsi="Times New Roman" w:eastAsia="宋体"/>
            <w:color w:val="0563C1"/>
            <w:sz w:val="21"/>
            <w:szCs w:val="21"/>
            <w:u w:val="single"/>
          </w:rPr>
          <w:t xml:space="preserve">https://www.ncbi.nlm.nih.gov/geo/query/acc.cgi?acc=GSE330741</w:t>
        </w:r>
      </w:hyperlink>
      <w:r>
        <w:t>、</w:t>
      </w:r>
      <w:hyperlink r:id="rId14">
        <w:r>
          <w:rPr>
            <w:rFonts w:ascii="Times New Roman" w:hAnsi="Times New Roman" w:eastAsia="宋体"/>
            <w:color w:val="0563C1"/>
            <w:sz w:val="21"/>
            <w:szCs w:val="21"/>
            <w:u w:val="single"/>
          </w:rPr>
          <w:t xml:space="preserve">https://pmc.ncbi.nlm.nih.gov/articles/PMC13142395/</w:t>
        </w:r>
      </w:hyperlink>
    </w:p>
    <w:p>
      <w:pPr>
        <w:pStyle w:val="Heading2"/>
      </w:pPr>
      <w:r>
        <w:t>靶标冻结</w:t>
      </w:r>
    </w:p>
    <w:p>
      <w:r>
        <w:t>做完即冻结 1 个主靶、最多 1–2 个备靶。Ndrg2、Agpat3 可以是 APA 验证备靶；若独立 PAP 数据不给它们足够线索，就不把它们硬写成 PAP 主故事。</w:t>
      </w:r>
    </w:p>
    <w:p>
      <w:pPr>
        <w:pStyle w:val="Heading1"/>
      </w:pPr>
      <w:r>
        <w:t>第三关：用独立动物先证实 APA，再测位置</w:t>
      </w:r>
    </w:p>
    <w:p>
      <w:pPr>
        <w:pStyle w:val="Heading2"/>
      </w:pPr>
      <w:r>
        <w:t>确认真实剪切位点和比例</w:t>
      </w:r>
    </w:p>
    <w:p>
      <w:r>
        <w:t>在与发现数据尽量一致的卒中模型、取材皮层区域和时间点，设置 sham 与卒中独立小鼠。第一轮建议聚焦第 7 天；它是 Atp2a2 的预测变化时间点，也能限制实验规模。样本量应由预实验的比例波动和预期效应确定，并预先写定；一只小鼠才是一个生物学重复，PCR 孔数不算。</w:t>
      </w:r>
    </w:p>
    <w:p>
      <w:r>
        <w:t>从分选的星形胶质细胞 RNA 做锚定 oligo(dT) 3′RACE，测序确定真正的 RNA–poly(A) 接合处，检查近、远端是否都存在以及内部引物结合的可能。随后按实测位点设计比例测定：共享区域测总量、仅长异构体具有的远端区域测长版本；如需直接计数短版本，设计针对已确认短版本 3′端的检测，或采用靶向 3′端测序。仅凭“共享区减远端区”的常规 qPCR 数值，不能无校准地当作短异构体分子数。</w:t>
      </w:r>
      <w:hyperlink r:id="rId15">
        <w:r>
          <w:rPr>
            <w:rFonts w:ascii="Times New Roman" w:hAnsi="Times New Roman" w:eastAsia="宋体"/>
            <w:color w:val="0563C1"/>
            <w:sz w:val="21"/>
            <w:szCs w:val="21"/>
            <w:u w:val="single"/>
          </w:rPr>
          <w:t xml:space="preserve">https://pubmed.ncbi.nlm.nih.gov/25487210/</w:t>
        </w:r>
      </w:hyperlink>
    </w:p>
    <w:p>
      <w:pPr>
        <w:pStyle w:val="Heading2"/>
      </w:pPr>
      <w:r>
        <w:t>进入定位实验的条件</w:t>
      </w:r>
    </w:p>
    <w:p>
      <w:r>
        <w:t>测到可信的两个 3′端，且独立卒中样本中的异构体比例变化与预测方向一致；同时报告每只动物的比例、效应大小和不确定性。若位点或比例不复现，该靶标在这里停止。</w:t>
      </w:r>
    </w:p>
    <w:p>
      <w:pPr>
        <w:pStyle w:val="Heading2"/>
      </w:pPr>
      <w:r>
        <w:t>在原位数两个版本</w:t>
      </w:r>
    </w:p>
    <w:p>
      <w:r>
        <w:t>脑切片中做两组 RNA 探针：一组识别长、短版本共享序列，一组识别只有长版本拥有的远端序列。先用两个版本已知的材料标定检出率和双通道共定位误差，再将“共享＋远端”判为长版本，谨慎估计“仅共享”信号。这个校准很重要：RNAscope 的两个探针未必能在每一条 RNA 上同时检出；已有研究报告过单分子双探针共标的局限。</w:t>
      </w:r>
      <w:hyperlink r:id="rId16">
        <w:r>
          <w:rPr>
            <w:rFonts w:ascii="Times New Roman" w:hAnsi="Times New Roman" w:eastAsia="宋体"/>
            <w:color w:val="0563C1"/>
            <w:sz w:val="21"/>
            <w:szCs w:val="21"/>
            <w:u w:val="single"/>
          </w:rPr>
          <w:t xml:space="preserve">https://pmc.ncbi.nlm.nih.gov/articles/PMC11275876/</w:t>
        </w:r>
      </w:hyperlink>
    </w:p>
    <w:p>
      <w:r>
        <w:t>用星形胶质细胞膜标记勾画胞体和细突起，以突触标记界定“突触邻近突起”的操作性区域，同时标记血管、排除终足区域。GFAP 单独不足以勾画全部细 PAP。</w:t>
      </w:r>
    </w:p>
    <w:p>
      <w:pPr>
        <w:pStyle w:val="Heading2"/>
      </w:pPr>
      <w:r>
        <w:t>数据汇总与分析要点</w:t>
      </w:r>
    </w:p>
    <w:p>
      <w:r>
        <w:t>分析时按每只动物汇总，并同时记录：胞体、PAP 中长版本占该基因 RNA 的比例；单位突起长度或体积中的长版本分子密度；该基因总 RNA 量及突起形态。这样可以区分两种结果：卒中使长版本在全细胞都减少，进而减少 PAP 的供应；或卒中还改变了长、短版本对 PAP 的相对分配偏好。后一个主张需要直接比较“卒中效应在 PAP 与胞体之间是否不同”，即条件 × 区域的交互效应；不能仅凭一处显著、另一处不显著来判断。细胞和视野嵌套在小鼠内，不能各自充当独立 n。</w:t>
      </w:r>
    </w:p>
    <w:p>
      <w:pPr>
        <w:pStyle w:val="Heading1"/>
      </w:pPr>
      <w:r>
        <w:t>因果机制实验</w:t>
      </w:r>
    </w:p>
    <w:p>
      <w:r>
        <w:t>若原位观察到清楚的版本分布差异，先用同一启动子和编码序列构建长、短 3′UTR reporter，再加入“长版删除候选片段”和“短版回补该片段”。读出首先是 reporter RNA 的位置，同时测总 RNA 与蛋白，分清定位、稳定性和翻译效应。Reporter 说明片段能否影响分布；进一步操纵内源近端 poly(A) 位点、确认异构体比例随之改变并检测 PAP 分布，才更接近“这个 APA 事件导致分布改变”的因果结论。PABPN1/QKI 扰动放在此后，逐个检验其对该事件及定位的影响；现有 QKI 结合重叠只能提出机制候选。</w:t>
      </w:r>
    </w:p>
    <w:p>
      <w:pPr>
        <w:pStyle w:val="Heading1"/>
      </w:pPr>
      <w:r>
        <w:t>停走规则</w:t>
      </w:r>
    </w:p>
    <w:p>
      <w:r>
        <w:t>最终的停走规则很简单：APA 不复现，换靶；APA 复现而位置不变，保留 APA 结果并终止定位机制；位置改变但 reporter 只影响总量，转向 RNA 稳定性解释；位点、分布和内源扰动相互吻合，再推进 PAP 功能实验。这也把论文新意固定在一个可检验的“卒中—具体 APA 事件—特定 RNA 版本—突起分布”链条上。</w:t>
      </w:r>
    </w:p>
    <w:p>
      <w:pPr>
        <w:pStyle w:val="Heading1"/>
      </w:pPr>
      <w:r>
        <w:t>方法学调整说明</w:t>
      </w:r>
    </w:p>
    <w:p>
      <w:r>
        <w:t>这次我用研究方案技能限定了每一关允许作出的结论，用测序与统计技能明确了事件比对、生物学重复和空间交互分析；其中最重要的调整是：先验证内源事件与原位分布，再决定是否投入 reporter 和 PABPN1/QKI 机制实验。</w:t>
      </w:r>
    </w:p>
    <w:sectPr w:rsidR="00FC693F" w:rsidRPr="0006063C" w:rsidSect="00034616">
      <w:footerReference w:type="default" r:id="rId17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ind w:firstLine="0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lvlText w:val="%1"/>
      <w:lvlJc w:val="left"/>
      <w:suff w:val="space"/>
      <w:pPr>
        <w:ind w:left="0" w:firstLine="0" w:hanging="0"/>
      </w:pPr>
    </w:lvl>
    <w:lvl w:ilvl="1">
      <w:start w:val="1"/>
      <w:numFmt w:val="decimal"/>
      <w:lvlText w:val="%1.%2"/>
      <w:lvlJc w:val="left"/>
      <w:suff w:val="space"/>
      <w:pPr>
        <w:ind w:left="0" w:firstLine="0" w:hanging="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20"/>
      <w:jc w:val="both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Chars="0" w:firstLine="0"/>
      <w:jc w:val="left"/>
      <w:outlineLvl w:val="0"/>
      <w:numPr>
        <w:ilvl w:val="0"/>
        <w:numId w:val="10"/>
      </w:numPr>
    </w:pPr>
    <w:rPr>
      <w:rFonts w:ascii="Times New Roman" w:hAnsi="Times New Roman" w:eastAsia="黑体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360" w:lineRule="auto"/>
      <w:ind w:firstLineChars="0" w:firstLine="0"/>
      <w:jc w:val="left"/>
      <w:outlineLvl w:val="1"/>
      <w:numPr>
        <w:ilvl w:val="1"/>
        <w:numId w:val="10"/>
      </w:numPr>
    </w:pPr>
    <w:rPr>
      <w:rFonts w:ascii="Times New Roman" w:hAnsi="Times New Roman" w:eastAsia="黑体"/>
      <w:b/>
      <w:bCs/>
      <w:i w:val="0"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60" w:line="360" w:lineRule="auto" w:before="0"/>
      <w:contextualSpacing/>
      <w:jc w:val="center"/>
    </w:pPr>
    <w:rPr>
      <w:rFonts w:ascii="Times New Roman" w:hAnsi="Times New Roman" w:eastAsia="黑体"/>
      <w:b/>
      <w:i w:val="0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ind w:firstLineChars="0" w:firstLine="0"/>
      <w:jc w:val="center"/>
    </w:pPr>
    <w:rPr>
      <w:rFonts w:ascii="Times New Roman" w:hAnsi="Times New Roman" w:eastAsia="黑体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表格正文">
    <w:name w:val="表格正文"/>
    <w:basedOn w:val="Normal"/>
    <w:pPr>
      <w:spacing w:line="240" w:lineRule="auto" w:before="0" w:after="0"/>
      <w:ind w:firstLineChars="0" w:firstLine="0"/>
      <w:jc w:val="left"/>
    </w:pPr>
    <w:rPr>
      <w:rFonts w:ascii="Times New Roman" w:hAnsi="Times New Roman" w:eastAsia="宋体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file:///Users/yuan/Library/Containers/com.tencent.xinWeChat/Data/Documents/xwechat_files/wxid_woqp4xxwakg222_e086/temp/RWTemp/2026-09/a7ee44f41c75904834b63d5534a19f4b/STROKE_APA_FINAL_REPORT(1).md" TargetMode="External"/><Relationship Id="rId10" Type="http://schemas.openxmlformats.org/officeDocument/2006/relationships/hyperlink" Target="https://pmc.ncbi.nlm.nih.gov/articles/PMC10327023/" TargetMode="External"/><Relationship Id="rId11" Type="http://schemas.openxmlformats.org/officeDocument/2006/relationships/hyperlink" Target="https://genome.cshlp.org/content/26/8/1145" TargetMode="External"/><Relationship Id="rId12" Type="http://schemas.openxmlformats.org/officeDocument/2006/relationships/hyperlink" Target="https://www.ncbi.nlm.nih.gov/geo/query/acc.cgi?acc=GSE143531" TargetMode="External"/><Relationship Id="rId13" Type="http://schemas.openxmlformats.org/officeDocument/2006/relationships/hyperlink" Target="https://www.ncbi.nlm.nih.gov/geo/query/acc.cgi?acc=GSE330741" TargetMode="External"/><Relationship Id="rId14" Type="http://schemas.openxmlformats.org/officeDocument/2006/relationships/hyperlink" Target="https://pmc.ncbi.nlm.nih.gov/articles/PMC13142395/" TargetMode="External"/><Relationship Id="rId15" Type="http://schemas.openxmlformats.org/officeDocument/2006/relationships/hyperlink" Target="https://pubmed.ncbi.nlm.nih.gov/25487210/" TargetMode="External"/><Relationship Id="rId16" Type="http://schemas.openxmlformats.org/officeDocument/2006/relationships/hyperlink" Target="https://pmc.ncbi.nlm.nih.gov/articles/PMC11275876/" TargetMode="Externa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卒中后星形胶质细胞APA事件验证与PAP定位研究方案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