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312ab6dae849adc8004bca2c23860642c0aa5d"/>
    <w:p>
      <w:pPr>
        <w:pStyle w:val="Heading1"/>
      </w:pPr>
      <w:r>
        <w:t>Cross-Dataset Conformal Coverage Audit of Parkinson’s Disease Typing Classifiers Under Deployment Shift</w:t>
      </w:r>
    </w:p>
    <w:p>
      <w:pPr>
        <w:pStyle w:val="FirstParagraph"/>
      </w:pPr>
      <w:r>
        <w:rPr>
          <w:b/>
          <w:bCs/>
        </w:rPr>
        <w:t>Authors: Taylor [Given name, Family name]¹</w:t>
      </w:r>
      <w:r/>
      <w:r/>
    </w:p>
    <w:p>
      <w:pPr>
        <w:pStyle w:val="BodyText"/>
      </w:pPr>
      <w:r>
        <w:t>¹ [Department, Institution, City, Country]</w:t>
      </w:r>
    </w:p>
    <w:p>
      <w:pPr>
        <w:pStyle w:val="BodyText"/>
      </w:pPr>
      <w:r>
        <w:rPr>
          <w:b/>
          <w:bCs/>
        </w:rPr>
        <w:t>Corresponding author: [Given name, Family name]; e-mail: [to be completed]</w:t>
      </w:r>
      <w:r/>
      <w:r/>
    </w:p>
    <w:p>
      <w:pPr>
        <w:pStyle w:val="BodyText"/>
      </w:pPr>
      <w:r>
        <w:rPr>
          <w:b/>
          <w:bCs/>
        </w:rPr>
        <w:t>ORCID: [16-digit iD to be completed]</w:t>
      </w:r>
      <w:r/>
      <w:r/>
    </w:p>
    <w:bookmarkStart w:id="9" w:name="abstract"/>
    <w:p>
      <w:pPr>
        <w:pStyle w:val="Heading2"/>
      </w:pPr>
      <w:r>
        <w:t>Abstract</w:t>
      </w:r>
    </w:p>
    <w:p>
      <w:pPr>
        <w:pStyle w:val="FirstParagraph"/>
      </w:pPr>
      <w:r>
        <w:t>Conformal prediction (CP) provides distribution-free prediction sets with guaranteed marginal coverage under exchangeability. In keystroke-based Parkinson’s disease (PD) detection, cross-dataset deployment degrades discrimination, but whether empirical coverage retains its nominal target under deployment had not been audited. Under a pre-registered protocol, we audited split-CP coverage (α = 0.10; logistic-regression reference model) under cross-dataset deployment across four public keystroke datasets (cohort: 475 subjects). The primary family covered three confirmatory transfer directions with Holm correction; coverage conditional on PD versus healthy-control (HC) class was a pre-specified failure-mode diagnostic; recovery (target-domain calibration budgets) and attribution (prevalence-resampling and label-flip stress tests) were pre-registered secondary analyses. All three primary directions were Incompatible (family-controlled) — pre-registered statistical incompatibility with the nominal 0.90 level, a statistical rather than clinical determination: Tappy→MIT 0.598 [95% confidence interval (CI) 0.483–0.704], MIT→Tappy 0.850 [0.788–0.899], clinical-pool→self-report 0.732 [0.684–0.777]. Marginal totals concealed class asymmetry (PD-conditional coverage 0.214 in Tappy→MIT; HC 1.000). Coverage behavior differed between the two evaluated predictive models: the LightGBM comparator, despite lower discrimination, showed class-conditional coverage of 0.925–1.000 across the three primary directions. In these cohorts, target recalibration reached the 0.80 audit threshold with confidence-interval support using 9 and 18 target labels; in Tappy→MIT it did not within a 30% budget, and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Keywords: conformal prediction · Parkinson’s disease · keystroke dynamics · coverage audit · cross-dataset deployment · clinical decision support</w:t>
      </w:r>
      <w:r/>
      <w:r/>
    </w:p>
    <w:bookmarkEnd w:id="9"/>
    <w:bookmarkStart w:id="10" w:name="introduction"/>
    <w:p>
      <w:pPr>
        <w:pStyle w:val="Heading2"/>
      </w:pPr>
      <w:r>
        <w:t>Introduction</w:t>
      </w:r>
    </w:p>
    <w:p>
      <w:pPr>
        <w:pStyle w:val="FirstParagraph"/>
      </w:pPr>
      <w:r>
        <w:t>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and it is least trustworthy precisely when it emits a single confident wrong label, the one outcome a triage workflow cannot afford. Conformal prediction (CP) promises such calibration: under exchangeability, split CP covers the true label with probability at least 1−α regardless of the underlying model [5,6]. Deployment across datasets breaks exchangeability; theory characterizes how coverage degrades beyond exchangeability [7–10], while empirical audits in deployed clinical workflows remain sparse [17–19]. To our knowledge, no prior study has systematically audited conformal prediction coverage across publicly available Parkinson’s keystroke datasets under cross-dataset deployment.</w:t>
      </w:r>
    </w:p>
    <w:p>
      <w:pPr>
        <w:pStyle w:val="BodyText"/>
      </w:pPr>
      <w:r>
        <w:t>This audit asks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predictive models?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deployment-reliability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The study contributes: (i) a pre-registered, embargoed systematic audit of CP coverage across four public PD keystroke datasets, with a fixed cohort — the confirmatory family comprised three pre-specified primary transfer directions, and all 12 ordered transfer directions were examined descriptively; (ii) a coverage–discrimination decoupling map across all 12 ordered transfer directions and two predictive models;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8" w:name="methods"/>
    <w:p>
      <w:pPr>
        <w:pStyle w:val="Heading2"/>
      </w:pPr>
      <w:r>
        <w:t>Methods</w:t>
      </w:r>
    </w:p>
    <w:bookmarkStart w:id="11" w:name="study-design-and-ethical-approval"/>
    <w:p>
      <w:pPr>
        <w:pStyle w:val="Heading3"/>
      </w:pPr>
      <w:r>
        <w:t>Study Design and Ethical Approval</w:t>
      </w:r>
    </w:p>
    <w:p>
      <w:pPr>
        <w:pStyle w:val="FirstParagraph"/>
      </w:pPr>
      <w:r>
        <w:t>This audit is a retrospective, pre-registered analysis of exclusively de-identified public datasets released for research use; no new human data were collected and no intervention occurred. The analysis plan was pre-registered on the Open Science Framework (registration https://osf.io/j9fvx, 26 September 2026; frozen plan v1, tag v1.0-prereg) before any cross-dataset coverage was computed, under a 2-year embargo; reviewers can be granted view-only access during peer review.</w:t>
      </w:r>
      <w:r/>
      <w:r>
        <w:rPr>
          <w:rStyle w:val="VerbatimChar"/>
        </w:rPr>
      </w:r>
      <w:r/>
    </w:p>
    <w:bookmarkEnd w:id="11"/>
    <w:bookmarkStart w:id="12" w:name="data-sources-and-cohorts"/>
    <w:p>
      <w:pPr>
        <w:pStyle w:val="Heading3"/>
      </w:pPr>
      <w:r>
        <w:t>Data Sources and Cohorts</w:t>
      </w:r>
    </w:p>
    <w:p>
      <w:pPr>
        <w:pStyle w:val="FirstParagraph"/>
      </w:pPr>
      <w:r>
        <w:t>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bookmarkEnd w:id="12"/>
    <w:bookmarkStart w:id="13" w:name="features-and-models"/>
    <w:p>
      <w:pPr>
        <w:pStyle w:val="Heading3"/>
      </w:pPr>
      <w:r>
        <w:t>Features and Models</w:t>
      </w:r>
    </w:p>
    <w:p>
      <w:pPr>
        <w:pStyle w:val="FirstParagraph"/>
      </w:pPr>
      <w:r>
        <w:t>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3"/>
    <w:bookmarkStart w:id="14" w:name="conformal-procedures"/>
    <w:p>
      <w:pPr>
        <w:pStyle w:val="Heading3"/>
      </w:pPr>
      <w:r>
        <w:t>Conformal Procedures</w:t>
      </w:r>
    </w:p>
    <w:p>
      <w:pPr>
        <w:pStyle w:val="FirstParagraph"/>
      </w:pPr>
      <w:r>
        <w:t>Split CP used the least-ambiguous classification (LAC) score, s(x,y) = 1 − p̂(y|x), with a single pooled calibration quantile targeting marginal 1−α coverage, computed on a stratified 30% source calibration split (single confirmatory seed = 1, the first registered seed; 50-seed summaries are descriptive). The conformal threshold was the k-th smallest calibration score, where k = ⌈(n_cal + 1)(1−α)⌉ and n_cal is the calibration-split size; a candidate label was included when its LAC score did not exceed this threshold. When k &gt; n_cal, the resulting prediction set was the full label set.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4"/>
    <w:bookmarkStart w:id="15" w:name="outcomes-and-audit-verdicts"/>
    <w:p>
      <w:pPr>
        <w:pStyle w:val="Heading3"/>
      </w:pPr>
      <w:r>
        <w:t>Outcomes and Audit Verdicts</w:t>
      </w:r>
    </w:p>
    <w:p>
      <w:pPr>
        <w:pStyle w:val="FirstParagraph"/>
      </w:pPr>
      <w:r>
        <w:t>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The descriptive audit matrix covers all 12 ordered dataset pairs; TyPD and OE enter the confirmatory family only through the pooled clinical-source and self-report-target direction, respectively.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 “Holm-adjusted CI” 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 All analyses were performed in Python 3.12.10 using pandas 3.0.6, NumPy 2.5.3, SciPy 1.18.1, scikit-learn 1.9.1, LightGBM 4.7.0, and MAPIE 1.5.0 (versions pinned in the repository’s requirements.txt).</w:t>
      </w:r>
      <w:r/>
      <w:r/>
      <w:r/>
      <w:r/>
    </w:p>
    <w:bookmarkEnd w:id="15"/>
    <w:bookmarkStart w:id="16" w:name="recovery-and-attribution-analyses"/>
    <w:p>
      <w:pPr>
        <w:pStyle w:val="Heading3"/>
      </w:pPr>
      <w:r>
        <w:t>Recovery and Attribution Analyses</w:t>
      </w:r>
    </w:p>
    <w:p>
      <w:pPr>
        <w:pStyle w:val="FirstParagraph"/>
      </w:pPr>
      <w:r>
        <w:t>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6"/>
    <w:bookmarkStart w:id="17" w:name="reporting-standards"/>
    <w:p>
      <w:pPr>
        <w:pStyle w:val="Heading3"/>
      </w:pPr>
      <w:r>
        <w:t>Reporting Standards</w:t>
      </w:r>
    </w:p>
    <w:p>
      <w:pPr>
        <w:pStyle w:val="FirstParagraph"/>
      </w:pPr>
      <w:r>
        <w:t>We report with reference to the TRIPOD+AI statement [14] where applicable; the completed checklist accompanies the submission as supplementary material.</w:t>
      </w:r>
    </w:p>
    <w:bookmarkEnd w:id="17"/>
    <w:bookmarkEnd w:id="18"/>
    <w:bookmarkStart w:id="25" w:name="results"/>
    <w:p>
      <w:pPr>
        <w:pStyle w:val="Heading2"/>
      </w:pPr>
      <w:r>
        <w:t>Results</w:t>
      </w:r>
    </w:p>
    <w:bookmarkStart w:id="19" w:name="cross-dataset-coverage-audit"/>
    <w:p>
      <w:pPr>
        <w:pStyle w:val="Heading3"/>
      </w:pPr>
      <w:r>
        <w:t>Cross-Dataset Coverage Audit</w:t>
      </w:r>
    </w:p>
    <w:p>
      <w:pPr>
        <w:pStyle w:val="FirstParagraph"/>
      </w:pPr>
      <w:r>
        <w:t>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indicating that the observed coverage deficits were not primarily due to uniformly uninformative full-set predictions.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19"/>
    <w:bookmarkStart w:id="20" w:name="class-conditional-coverage-asymmetry"/>
    <w:p>
      <w:pPr>
        <w:pStyle w:val="Heading3"/>
      </w:pPr>
      <w:r>
        <w:t>Class-Conditional Coverage Asymmetry</w:t>
      </w:r>
    </w:p>
    <w:p>
      <w:pPr>
        <w:pStyle w:val="FirstParagraph"/>
      </w:pPr>
      <w:r>
        <w:t>In Tappy→MIT, PD-conditional coverage was 0.214 [0.103, 0.368] (n = 42) while HC coverage was 1.000 (n = 40): 33 of 42 PD participants (78.6%) received prediction sets excluding their true label (Fig. 2). With 34 of the 42 PD participants receiving singleton sets (PD singleton rate 0.810) and only 9 PD participants covered, at least 25 of the 33 misses were single-class sets — which, in a binary problem, necessarily contained only the non-PD label. These misses would therefore have propagated as false reassurance if the illustrative singleton-as-auto-pass mapping were applied. The under-served class flipped with target prevalence: HC-conditional coverage was the deficient one in the two PD-heavy targets (0.700 in MIT→Tappy; 0.627 in clinical→self-report). The comparator score was near-uniform across classes (0.925–1.000). These are measured, unadjusted diagnostics, not guarantees.</w:t>
      </w:r>
    </w:p>
    <w:bookmarkEnd w:id="20"/>
    <w:bookmarkStart w:id="21" w:name="coveragediscrimination-decoupling"/>
    <w:p>
      <w:pPr>
        <w:pStyle w:val="Heading3"/>
      </w:pPr>
      <w:r>
        <w:t>Coverage–Discrimination Decoupling</w:t>
      </w:r>
    </w:p>
    <w:p>
      <w:pPr>
        <w:pStyle w:val="FirstParagraph"/>
      </w:pPr>
      <w:r>
        <w:t>Across all 12 transfer directions, discrimination and coverage moved asynchronously in both predictive models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matrix is shown in Fig. 7; coverage matrices are provided in the supplement.</w:t>
      </w:r>
    </w:p>
    <w:bookmarkEnd w:id="21"/>
    <w:bookmarkStart w:id="22" w:name="target-recalibration-and-recovery-cost"/>
    <w:p>
      <w:pPr>
        <w:pStyle w:val="Heading3"/>
      </w:pPr>
      <w:r>
        <w:t>Target Recalibration and Recovery Cost</w:t>
      </w:r>
    </w:p>
    <w:p>
      <w:pPr>
        <w:pStyle w:val="FirstParagraph"/>
      </w:pPr>
      <w:r>
        <w:t>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2"/>
    <w:bookmarkStart w:id="23" w:name="Xf6093039b3c9b95029ac286670ac4c04d5753bb"/>
    <w:p>
      <w:pPr>
        <w:pStyle w:val="Heading3"/>
      </w:pPr>
      <w:r>
        <w:t>Stress Tests of Alternative Shift Explanations</w:t>
      </w:r>
    </w:p>
    <w:p>
      <w:pPr>
        <w:pStyle w:val="FirstParagraph"/>
      </w:pPr>
      <w:r>
        <w:t>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other forms of distribution shift, including covariate and conditional shift, remain possible explanations (no causal identification claimed).</w:t>
      </w:r>
    </w:p>
    <w:bookmarkEnd w:id="23"/>
    <w:bookmarkStart w:id="24" w:name="robustness-and-subgroup-analyses"/>
    <w:p>
      <w:pPr>
        <w:pStyle w:val="Heading3"/>
      </w:pPr>
      <w:r>
        <w:t>Robustness and Subgroup Analyses</w:t>
      </w:r>
    </w:p>
    <w:p>
      <w:pPr>
        <w:pStyle w:val="FirstParagraph"/>
      </w:pPr>
      <w:r>
        <w:t>Under the pre-registered confirmatory pipeline (single seed = 1), no pre-registered sensitivity analysis flipped the primary verdicts: α = 0.20 (0.522–0.705); dual re-inclusion of the three tremor-only participants (largest shift +0.073); quarter-level session re-aggregation (identical results); stratification by feature tier (no monotone gradient). The MIT→Tappy verdict sits close to the decision boundary (CI upper bound 0.8994), and its per-seed split distribution (mean 0.853 ± 0.058) implies that individual splits can fall in the Undetermined band; the 50-seed sensitivity distribution lay below the nominal 0.90 level in its center and in the majority of individual splits,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4"/>
    <w:bookmarkEnd w:id="25"/>
    <w:bookmarkStart w:id="28" w:name="discussion"/>
    <w:p>
      <w:pPr>
        <w:pStyle w:val="Heading2"/>
      </w:pPr>
      <w:r>
        <w:t>Discussion</w:t>
      </w:r>
    </w:p>
    <w:p>
      <w:pPr>
        <w:pStyle w:val="FirstParagraph"/>
      </w:pPr>
      <w:r>
        <w:t>Under cross-dataset deployment of PD typing classifiers, empirical conformal coverage behaved as a reliability dimension distinct from discrimination. In directions where discrimination looked acceptable, coverage was statistically incompatible with the nominal level under family-wise control; where discrimination looked poor, coverage remained compatible — a pattern consistent with a coverage–efficiency trade-off for the comparator’s near-full sets. Acceptable marginal totals concealed class-conditional collapse, and recovery costs differed widely across directions. None of the tested prevalence and label-noise mechanisms alone reproduced the observed phenotype. AUC-only evaluation therefore measures discrimination but not the reliability of prediction-set coverage under deployment shift.</w:t>
      </w:r>
    </w:p>
    <w:bookmarkStart w:id="26" w:name="Xa8a17698c4bfcf7143b6f74643a14804935547e"/>
    <w:p>
      <w:pPr>
        <w:pStyle w:val="Heading3"/>
      </w:pPr>
      <w:r>
        <w:t>Coverage Auditing as Deployment Governance</w:t>
      </w:r>
    </w:p>
    <w:p>
      <w:pPr>
        <w:pStyle w:val="FirstParagraph"/>
      </w:pPr>
      <w:r>
        <w:t>Operationally, these results indicate that a deployment could pass an AUC acceptance test yet — if singleton sets were operationalized as auto-pass decisions — route most positive patients through that pathway, which is why coverage auditing should be considered a component of a deployment acceptance framework rather than a post-hoc evaluation alone. Four operational recommendations follow: (i) treat the pre-registered verdict vocabulary as a candidate deployment-audit gate, to be validated prospectively before operational use (Undetermined/Incompatible findings should trigger additional validation or remediation before operational use), and schedule periodic re-audits with re-triggering on upstream device or population changes; (ii) budget a small, class-stratified standing calibration set per deployment site — in these cohorts, observed recovery budgets were 9–18 labels where the score survives; where recovery was not achieved within the evaluated calibration budget, deployment would require additional validation or an alternative uncertainty-management strategy; (iii) treat class-conditional audit results as a candidate gating condition before permitting any auto-pass workflow — if singleton sets were operationalized as auto-pass decisions, 78.6% of PD participants in Tappy→MIT would have been incorrectly routed through that pathway; at the observed mean set sizes (1.11–1.53) every prediction set contained one or two labels, so the doubleton (manual-review) fraction under the illustrative mapping is 11–53% of subjects, a modest cost against the failure mode; (iv) regard typing-based PD triage as one component of a health-information system referral pathway, not a standalone diagnostic.</w:t>
      </w:r>
    </w:p>
    <w:bookmarkEnd w:id="26"/>
    <w:bookmarkStart w:id="27" w:name="relation-to-prior-work"/>
    <w:p>
      <w:pPr>
        <w:pStyle w:val="Heading3"/>
      </w:pPr>
      <w:r>
        <w:t>Relation to Prior Work</w:t>
      </w:r>
    </w:p>
    <w:p>
      <w:pPr>
        <w:pStyle w:val="FirstParagraph"/>
      </w:pPr>
      <w:r>
        <w:t>Coverage audits of CP under shift exist outside medicine — at scale in computer vision [20] and as a natural-experiment diagnosis in clinical prediction [21] — and clinical conformal studies have begun reporting coverage under transport: a sepsis mortality predictor externally validated from MIMIC to eICU [17], subgroup coverage auditing under temporal shift [19], and class-conditional coverage imbalance in LLM-based mortality prediction [18], the last paralleling the class asymmetry measured here. PD digital phenotyping has used CP for medication-need intervals [11] and reliable longitudinal assessment on real-world digital neurologic signatures [12] — in-domain. Relative to these, this audit adds a pre-registered verdict protocol, class-conditional failure-mode diagnostics, and recovery-cost quantification in a keystroke modality where uncertainty has been unexamined. Our results do not contradict CP theory; they measure what the theory predicts at the boundary of its assumptions, on data a deployment would actually meet.</w:t>
      </w:r>
    </w:p>
    <w:bookmarkEnd w:id="27"/>
    <w:bookmarkEnd w:id="28"/>
    <w:bookmarkStart w:id="29" w:name="limitations"/>
    <w:p>
      <w:pPr>
        <w:pStyle w:val="Heading2"/>
      </w:pPr>
      <w:r>
        <w:t>Limitations</w:t>
      </w:r>
    </w:p>
    <w:p>
      <w:pPr>
        <w:pStyle w:val="Compact"/>
        <w:numPr>
          <w:ilvl w:val="0"/>
          <w:numId w:val="1001"/>
        </w:numPr>
      </w:pPr>
      <w:r>
        <w:t>(1) Self-report labels qualify the estimand on self-report targets; random flips are not structured mislabeling, and reproduction claims are limited to “sufficient to reproduce” at the pre-specified doses in one direction. (2) The effective reference model is logistic regression; the originally planned LightGBM failed a pre-specified in-domain performance criterion (three pre-declared attempts), the amendment was finalized before cross-dataset coverage was computed, and the comparator is reported throughout. (3) Model-dependent coverage behavior is established descriptively across two predictive models and 12 non-independent directions; two models demonstrate that coverage failure is not intrinsic to the task, not a general law of model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29"/>
    <w:bookmarkStart w:id="30" w:name="conclusion"/>
    <w:p>
      <w:pPr>
        <w:pStyle w:val="Heading2"/>
      </w:pPr>
      <w:r>
        <w:t>Conclusion</w:t>
      </w:r>
    </w:p>
    <w:p>
      <w:pPr>
        <w:pStyle w:val="FirstParagraph"/>
      </w:pPr>
      <w:r>
        <w:t>Discrimination metrics and empirical coverage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models’ coverage behavior as part of model selection.</w:t>
      </w:r>
    </w:p>
    <w:p>
      <w:pPr>
        <w:pStyle w:val="BodyText"/>
      </w:pPr>
      <w:r>
        <w:rPr>
          <w:b/>
          <w:bCs/>
        </w:rPr>
        <w:t>Supplementary Information The TRIPOD+AI checklist, the full 12-direction AUC and coverage matrices, per-seed split distributions, the pre-registered power analysis, and subgroup tables are provided in the supplementary material.</w:t>
      </w:r>
      <w:r/>
      <w:r/>
    </w:p>
    <w:p>
      <w:pPr>
        <w:pStyle w:val="BodyText"/>
      </w:pPr>
      <w:r>
        <w:rPr>
          <w:b/>
          <w:bCs/>
        </w:rPr>
        <w:t>Author Contributions [CRediT roles to be completed: conceptualization, methodology, software, investigation, writing — to be assigned by the author.]</w:t>
      </w:r>
      <w:r/>
      <w:r/>
    </w:p>
    <w:p>
      <w:pPr>
        <w:pStyle w:val="BodyText"/>
      </w:pPr>
      <w:r>
        <w:rPr>
          <w:b/>
          <w:bCs/>
        </w:rPr>
        <w:t>Funding [No funding was received for this study / to be completed by the author.]</w:t>
      </w:r>
      <w:r/>
      <w:r/>
    </w:p>
    <w:p>
      <w:pPr>
        <w:pStyle w:val="BodyText"/>
      </w:pPr>
      <w:r>
        <w:rPr>
          <w:b/>
          <w:bCs/>
        </w:rPr>
        <w:t>Data Availability 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fixed cohort construction with step-by-step inclusion/exclusion counts is released with the code in the public archive below.</w:t>
      </w:r>
      <w:r/>
      <w:r/>
    </w:p>
    <w:p>
      <w:pPr>
        <w:pStyle w:val="BodyText"/>
      </w:pPr>
      <w:r>
        <w:rPr>
          <w:b/>
          <w:bCs/>
        </w:rPr>
        <w:t>Code Availability The full pipeline, unit-test suite, figure/table generation scripts, and frozen result tables are publicly available at https://github.com/Tiannn0512/typing-pd-conformal-audit (public timestamp archive; frozen result tag results-frozen-v1). [A citable Zenodo DOI will be added; repository DOI to be completed.]</w:t>
      </w:r>
      <w:r/>
      <w:r/>
      <w:r/>
      <w:r>
        <w:rPr>
          <w:rStyle w:val="VerbatimChar"/>
        </w:rPr>
      </w:r>
      <w:r/>
    </w:p>
    <w:p>
      <w:pPr>
        <w:pStyle w:val="BodyText"/>
      </w:pPr>
      <w:r>
        <w:rPr>
          <w:b/>
          <w:bCs/>
        </w:rPr>
        <w:t>Declarations</w:t>
      </w:r>
    </w:p>
    <w:p>
      <w:pPr>
        <w:pStyle w:val="BodyText"/>
      </w:pPr>
      <w:r>
        <w:rPr>
          <w:b/>
          <w:bCs/>
        </w:rPr>
        <w:t>Ethics Approval This study used exclusively de-identified, publicly available datasets (MIT-CSXPD, Tappy Keplar, TyPD/i-PROGNOSIS, Online English) released for research use; no new human data were collected and no intervention occurred. [Final ethics/exemption wording to be confirmed against the author’s institutional policy before submission.]</w:t>
      </w:r>
      <w:r/>
      <w:r/>
    </w:p>
    <w:p>
      <w:pPr>
        <w:pStyle w:val="BodyText"/>
      </w:pPr>
      <w:r>
        <w:rPr>
          <w:b/>
          <w:bCs/>
        </w:rPr>
        <w:t>Consent to Participate Not applicable: no individual participant data were newly collected; all datasets are public research releases with their own consent frameworks.</w:t>
      </w:r>
      <w:r/>
      <w:r/>
    </w:p>
    <w:p>
      <w:pPr>
        <w:pStyle w:val="BodyText"/>
      </w:pPr>
      <w:r>
        <w:rPr>
          <w:b/>
          <w:bCs/>
        </w:rPr>
        <w:t>Consent for Publication Not applicable: the manuscript contains no identifiable individual data.</w:t>
      </w:r>
      <w:r/>
      <w:r/>
    </w:p>
    <w:p>
      <w:pPr>
        <w:pStyle w:val="BodyText"/>
      </w:pPr>
      <w:r>
        <w:rPr>
          <w:b/>
          <w:bCs/>
        </w:rPr>
        <w:t>Clinical Trial Number Not applicable.</w:t>
      </w:r>
      <w:r/>
      <w:r/>
    </w:p>
    <w:p>
      <w:pPr>
        <w:pStyle w:val="BodyText"/>
      </w:pPr>
      <w:r>
        <w:rPr>
          <w:b/>
          <w:bCs/>
        </w:rPr>
        <w:t>Competing Interests The author declares no competing interests. [To be confirmed.]</w:t>
      </w:r>
      <w:r/>
      <w:r/>
    </w:p>
    <w:bookmarkEnd w:id="30"/>
    <w:bookmarkStart w:id="31" w:name="references"/>
    <w:p>
      <w:pPr>
        <w:pStyle w:val="Heading2"/>
      </w:pPr>
      <w:r>
        <w:t>References</w:t>
      </w:r>
    </w:p>
    <w:p>
      <w:pPr>
        <w:pStyle w:val="Compact"/>
        <w:numPr>
          <w:ilvl w:val="0"/>
          <w:numId w:val="1002"/>
        </w:numPr>
      </w:pPr>
      <w:r>
        <w:t>Giancardo L, Cisco G, Sánchez-Ferro A, et al (2016) Computer keyboard interaction as an indicator of early Parkinson’s disease. Sci Rep 6:34468. https://doi.org/10.1038/srep34468</w:t>
      </w:r>
    </w:p>
    <w:p>
      <w:pPr>
        <w:pStyle w:val="Compact"/>
        <w:numPr>
          <w:ilvl w:val="0"/>
          <w:numId w:val="1002"/>
        </w:numPr>
      </w:pPr>
      <w:r>
        <w:t>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Vovk V, Gammerman A, Shafer G (2005) Algorithmic learning in a random world. Springer, New York</w:t>
      </w:r>
    </w:p>
    <w:p>
      <w:pPr>
        <w:pStyle w:val="Compact"/>
        <w:numPr>
          <w:ilvl w:val="0"/>
          <w:numId w:val="1002"/>
        </w:numPr>
      </w:pPr>
      <w:r>
        <w:t>Angelopoulos AN, Bates S (2023) Conformal prediction: a gentle introduction. Found Trends Mach Learn 16:494–591. https://doi.org/10.1561/2200000101</w:t>
      </w:r>
    </w:p>
    <w:p>
      <w:pPr>
        <w:pStyle w:val="Compact"/>
        <w:numPr>
          <w:ilvl w:val="0"/>
          <w:numId w:val="1002"/>
        </w:numPr>
      </w:pPr>
      <w:r>
        <w:t>Tibshirani RJ, Foygel Barber R, Candès E, Ramdas A (2019) Conformal prediction under covariate shift. In: NeurIPS 32</w:t>
      </w:r>
    </w:p>
    <w:p>
      <w:pPr>
        <w:pStyle w:val="Compact"/>
        <w:numPr>
          <w:ilvl w:val="0"/>
          <w:numId w:val="1002"/>
        </w:numPr>
      </w:pPr>
      <w:r>
        <w:t>Barber RF, Candès E, Ramdas A, Tibshirani RJ (2023) Conformal prediction beyond exchangeability. Ann Stat 51:816–845. https://doi.org/10.1214/23-AOS2276</w:t>
      </w:r>
    </w:p>
    <w:p>
      <w:pPr>
        <w:pStyle w:val="Compact"/>
        <w:numPr>
          <w:ilvl w:val="0"/>
          <w:numId w:val="1002"/>
        </w:numPr>
      </w:pPr>
      <w:r>
        <w:t>Einbinder B-S, Feldman S, Bates S, Angelopoulos AN, Gendler A, Romano Y (2024) Label noise robustness of conformal prediction. J Mach Learn Res 25(328):1–66</w:t>
      </w:r>
    </w:p>
    <w:p>
      <w:pPr>
        <w:pStyle w:val="Compact"/>
        <w:numPr>
          <w:ilvl w:val="0"/>
          <w:numId w:val="1002"/>
        </w:numPr>
      </w:pPr>
      <w:r>
        <w:t>Han W, et al (2026) The label complexity of class-conditional coverage under distribution shift. arXiv:2607.18088. https://arxiv.org/abs/2607.18088</w:t>
      </w:r>
    </w:p>
    <w:p>
      <w:pPr>
        <w:pStyle w:val="Compact"/>
        <w:numPr>
          <w:ilvl w:val="0"/>
          <w:numId w:val="1002"/>
        </w:numPr>
      </w:pPr>
      <w:r>
        <w:t>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Wei W, Gao R, Yao S, et al (2026) SGC-RML: a reliable and interpretable longitudinal assessment for PD in real-world DNS. arXiv:2605.08302. https://arxiv.org/abs/2605.08302</w:t>
      </w:r>
    </w:p>
    <w:p>
      <w:pPr>
        <w:pStyle w:val="Compact"/>
        <w:numPr>
          <w:ilvl w:val="0"/>
          <w:numId w:val="1002"/>
        </w:numPr>
      </w:pPr>
      <w:r>
        <w:t>Tuwani R, Beam AL (2023) Safe and reliable transport of prediction models to new healthcare settings without the need to collect new labeled data. medRxiv. https://doi.org/10.1101/2023.12.13.23299899 [preprint; no published version located as of 2026-09-27 — re-verify before submission]</w:t>
      </w:r>
    </w:p>
    <w:p>
      <w:pPr>
        <w:pStyle w:val="Compact"/>
        <w:numPr>
          <w:ilvl w:val="0"/>
          <w:numId w:val="1002"/>
        </w:numPr>
      </w:pPr>
      <w:r>
        <w:t>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Taquet V, Blot V, Morzadec T, Lacombe L, Brunel N (2022) MAPIE: an open-source library for distribution-free uncertainty quantification. arXiv:2207.12274. https://arxiv.org/abs/2207.12274</w:t>
      </w:r>
    </w:p>
    <w:p>
      <w:pPr>
        <w:pStyle w:val="Compact"/>
        <w:numPr>
          <w:ilvl w:val="0"/>
          <w:numId w:val="1002"/>
        </w:numPr>
      </w:pPr>
      <w:r>
        <w:t>Lipton ZC, Wang Y-X, Smola A (2018) Detecting and correcting for label shift with black box predictors. In: ICML 35</w:t>
      </w:r>
    </w:p>
    <w:p>
      <w:pPr>
        <w:pStyle w:val="Compact"/>
        <w:numPr>
          <w:ilvl w:val="0"/>
          <w:numId w:val="1002"/>
        </w:numPr>
      </w:pPr>
      <w:r>
        <w:t>Yang M, Chen H, Hu W, Mischi M, et al (2024) Development and validation of an interpretable conformal predictor to predict sepsis mortality risk: retrospective cohort study. J Med Internet Res 26:e50369. https://doi.org/10.2196/50369</w:t>
      </w:r>
    </w:p>
    <w:p>
      <w:pPr>
        <w:pStyle w:val="Compact"/>
        <w:numPr>
          <w:ilvl w:val="0"/>
          <w:numId w:val="1002"/>
        </w:numPr>
      </w:pPr>
      <w:r>
        <w:t>Shah-Mohammadi F, Millar A, Facelli JC, Gouripeddi R (2026) Understanding uncertainty in large language model predictions of early death in critically ill patients: a conformal prediction approach. JAMIA Open 9(3):ooag108. https://doi.org/10.1093/jamiaopen/ooag108</w:t>
      </w:r>
    </w:p>
    <w:p>
      <w:pPr>
        <w:pStyle w:val="Compact"/>
        <w:numPr>
          <w:ilvl w:val="0"/>
          <w:numId w:val="1002"/>
        </w:numPr>
      </w:pPr>
      <w:r>
        <w:t>Kwon H, Kim DJ (2026) Conformal selective prediction with cost aware deferral for safe clinical triage under distribution shift. Sci Rep 16:10016. https://doi.org/10.1038/s41598-026-40637-w</w:t>
      </w:r>
    </w:p>
    <w:p>
      <w:pPr>
        <w:pStyle w:val="Compact"/>
        <w:numPr>
          <w:ilvl w:val="0"/>
          <w:numId w:val="1002"/>
        </w:numPr>
      </w:pPr>
      <w:r>
        <w:t>Kasa KW, Taylor GW (2023) Empirically validating conformal prediction on modern vision architectures under distribution shift and long-tailed data. ICML 2023 Workshop on Structured Probabilistic Inference and Generative Modeling (SPIGM). arXiv:2307.01088</w:t>
      </w:r>
    </w:p>
    <w:p>
      <w:pPr>
        <w:pStyle w:val="Compact"/>
        <w:numPr>
          <w:ilvl w:val="0"/>
          <w:numId w:val="1002"/>
        </w:numPr>
      </w:pPr>
      <w:r>
        <w:t>Lee C (2026) Diagnosing conformal prediction failures under distribution shift: a COVID-19 case study. In: UAI 2026, PMLR 337:3453–3476. arXiv:2601.00908</w:t>
      </w:r>
    </w:p>
    <w:bookmarkEnd w:id="31"/>
    <w:bookmarkEnd w:id="32"/>
    <w:bookmarkStart w:id="33" w:name="tables"/>
    <w:p>
      <w:pPr>
        <w:pStyle w:val="Heading1"/>
      </w:pPr>
      <w:r>
        <w:t>Tables</w:t>
      </w:r>
    </w:p>
    <w:p>
      <w:pPr>
        <w:pStyle w:val="FirstParagraph"/>
      </w:pPr>
      <w:r>
        <w:rPr>
          <w:b/>
          <w:bCs/>
        </w:rPr>
        <w:t>Table 1. Cohort composition (subjects; PD/HC). The three confirmatory transfer directions and the manner in which each dataset enters them (directly or via the merged pools) are specified in Methods.</w:t>
      </w:r>
      <w:r/>
      <w:r/>
      <w:r/>
      <w:r/>
      <w:r/>
      <w:r/>
    </w:p>
    <w:tbl>
      <w:tblPr>
        <w:tblStyle w:val="Table"/>
        <w:tblW w:type="pct" w:w="4935"/>
        <w:tblLayout w:type="fixed"/>
        <w:tblLook w:firstRow="1" w:lastRow="0" w:firstColumn="0" w:lastColumn="0" w:noHBand="0" w:noVBand="0" w:val="0020"/>
      </w:tblPr>
      <w:tblGrid>
        <w:gridCol w:w="1087"/>
        <w:gridCol w:w="4710"/>
        <w:gridCol w:w="672"/>
        <w:gridCol w:w="672"/>
        <w:gridCol w:w="672"/>
      </w:tblGrid>
      <w:tr>
        <w:trPr>
          <w:tblHeader w:val="on"/>
        </w:trPr>
        <w:tc>
          <w:tcPr/>
          <w:p>
            <w:pPr>
              <w:pStyle w:val="Compact"/>
              <w:jc w:val="left"/>
            </w:pPr>
            <w:r>
              <w:t>Dataset</w:t>
            </w:r>
          </w:p>
        </w:tc>
        <w:tc>
          <w:tcPr/>
          <w:p>
            <w:r>
              <w:t>Labels</w:t>
            </w:r>
          </w:p>
        </w:tc>
        <w:tc>
          <w:tcPr/>
          <w:p>
            <w:r>
              <w:t>Subjects</w:t>
            </w:r>
          </w:p>
        </w:tc>
        <w:tc>
          <w:tcPr/>
          <w:p>
            <w:pPr>
              <w:pStyle w:val="Compact"/>
              <w:jc w:val="left"/>
            </w:pPr>
            <w:r>
              <w:t>PD</w:t>
            </w:r>
          </w:p>
        </w:tc>
        <w:tc>
          <w:tcPr/>
          <w:p>
            <w:pPr>
              <w:pStyle w:val="Compact"/>
              <w:jc w:val="left"/>
            </w:pPr>
            <w:r>
              <w:t>HC</w:t>
            </w:r>
          </w:p>
        </w:tc>
      </w:tr>
      <w:tr>
        <w:tc>
          <w:tcPr/>
          <w:p>
            <w:pPr>
              <w:pStyle w:val="Compact"/>
              <w:jc w:val="left"/>
            </w:pPr>
            <w:r>
              <w:t>MIT-CSXPD</w:t>
            </w:r>
          </w:p>
        </w:tc>
        <w:tc>
          <w:tcPr/>
          <w:p>
            <w:r>
              <w:t>Clinical</w:t>
            </w:r>
          </w:p>
        </w:tc>
        <w:tc>
          <w:tcPr/>
          <w:p>
            <w:pPr>
              <w:pStyle w:val="Compact"/>
              <w:jc w:val="left"/>
            </w:pPr>
            <w:r>
              <w:t>82</w:t>
            </w:r>
          </w:p>
        </w:tc>
        <w:tc>
          <w:tcPr/>
          <w:p>
            <w:pPr>
              <w:pStyle w:val="Compact"/>
              <w:jc w:val="left"/>
            </w:pPr>
            <w:r>
              <w:t>42</w:t>
            </w:r>
          </w:p>
        </w:tc>
        <w:tc>
          <w:tcPr/>
          <w:p>
            <w:pPr>
              <w:pStyle w:val="Compact"/>
              <w:jc w:val="left"/>
            </w:pPr>
            <w:r>
              <w:t>40</w:t>
            </w:r>
          </w:p>
        </w:tc>
      </w:tr>
      <w:tr>
        <w:tc>
          <w:tcPr/>
          <w:p>
            <w:pPr>
              <w:pStyle w:val="Compact"/>
              <w:jc w:val="left"/>
            </w:pPr>
            <w:r>
              <w:t>Tappy Keplar</w:t>
            </w:r>
          </w:p>
        </w:tc>
        <w:tc>
          <w:tcPr/>
          <w:p>
            <w:r>
              <w:t>Self-report</w:t>
            </w:r>
          </w:p>
        </w:tc>
        <w:tc>
          <w:tcPr/>
          <w:p>
            <w:pPr>
              <w:pStyle w:val="Compact"/>
              <w:jc w:val="left"/>
            </w:pPr>
            <w:r>
              <w:t>173</w:t>
            </w:r>
          </w:p>
        </w:tc>
        <w:tc>
          <w:tcPr/>
          <w:p>
            <w:pPr>
              <w:pStyle w:val="Compact"/>
              <w:jc w:val="left"/>
            </w:pPr>
            <w:r>
              <w:t>133</w:t>
            </w:r>
          </w:p>
        </w:tc>
        <w:tc>
          <w:tcPr/>
          <w:p>
            <w:pPr>
              <w:pStyle w:val="Compact"/>
              <w:jc w:val="left"/>
            </w:pPr>
            <w:r>
              <w:t>40</w:t>
            </w:r>
          </w:p>
        </w:tc>
      </w:tr>
      <w:tr>
        <w:tc>
          <w:tcPr/>
          <w:p>
            <w:pPr>
              <w:pStyle w:val="Compact"/>
              <w:jc w:val="left"/>
            </w:pPr>
            <w:r>
              <w:t>TyPD (i-PROGNOSIS)</w:t>
            </w:r>
          </w:p>
        </w:tc>
        <w:tc>
          <w:tcPr/>
          <w:p>
            <w:r>
              <w:t>Clinical</w:t>
            </w:r>
          </w:p>
        </w:tc>
        <w:tc>
          <w:tcPr/>
          <w:p>
            <w:pPr>
              <w:pStyle w:val="Compact"/>
              <w:jc w:val="left"/>
            </w:pPr>
            <w:r>
              <w:t>27</w:t>
            </w:r>
          </w:p>
        </w:tc>
        <w:tc>
          <w:tcPr/>
          <w:p>
            <w:pPr>
              <w:pStyle w:val="Compact"/>
              <w:jc w:val="left"/>
            </w:pPr>
            <w:r>
              <w:t>12</w:t>
            </w:r>
          </w:p>
        </w:tc>
        <w:tc>
          <w:tcPr/>
          <w:p>
            <w:pPr>
              <w:pStyle w:val="Compact"/>
              <w:jc w:val="left"/>
            </w:pPr>
            <w:r>
              <w:t>15</w:t>
            </w:r>
          </w:p>
        </w:tc>
      </w:tr>
      <w:tr>
        <w:tc>
          <w:tcPr/>
          <w:p>
            <w:pPr>
              <w:pStyle w:val="Compact"/>
              <w:jc w:val="left"/>
            </w:pPr>
            <w:r>
              <w:t>Online English</w:t>
            </w:r>
          </w:p>
        </w:tc>
        <w:tc>
          <w:tcPr/>
          <w:p>
            <w:r>
              <w:t>Self-report</w:t>
            </w:r>
          </w:p>
        </w:tc>
        <w:tc>
          <w:tcPr/>
          <w:p>
            <w:pPr>
              <w:pStyle w:val="Compact"/>
              <w:jc w:val="left"/>
            </w:pPr>
            <w:r>
              <w:t>193</w:t>
            </w:r>
          </w:p>
        </w:tc>
        <w:tc>
          <w:tcPr/>
          <w:p>
            <w:pPr>
              <w:pStyle w:val="Compact"/>
              <w:jc w:val="left"/>
            </w:pPr>
            <w:r>
              <w:t>83</w:t>
            </w:r>
          </w:p>
        </w:tc>
        <w:tc>
          <w:tcPr/>
          <w:p>
            <w:pPr>
              <w:pStyle w:val="Compact"/>
              <w:jc w:val="left"/>
            </w:pPr>
            <w:r>
              <w:t>110</w:t>
            </w:r>
          </w:p>
        </w:tc>
      </w:tr>
      <w:tr>
        <w:tc>
          <w:tcPr/>
          <w:p>
            <w:pPr>
              <w:pStyle w:val="Compact"/>
              <w:jc w:val="left"/>
            </w:pPr>
            <w:r>
              <w:rPr>
                <w:b/>
                <w:bCs/>
              </w:rPr>
              <w:t>Total</w:t>
            </w:r>
          </w:p>
        </w:tc>
        <w:tc>
          <w:tcPr/>
          <w:p>
            <w:r/>
          </w:p>
        </w:tc>
        <w:tc>
          <w:tcPr/>
          <w:p>
            <w:pPr>
              <w:pStyle w:val="Compact"/>
              <w:jc w:val="left"/>
            </w:pPr>
            <w:r>
              <w:rPr>
                <w:b/>
                <w:bCs/>
              </w:rPr>
              <w:t>475</w:t>
            </w:r>
          </w:p>
        </w:tc>
        <w:tc>
          <w:tcPr/>
          <w:p>
            <w:pPr>
              <w:pStyle w:val="Compact"/>
              <w:jc w:val="left"/>
            </w:pPr>
            <w:r>
              <w:rPr>
                <w:b/>
                <w:bCs/>
              </w:rPr>
              <w:t>270</w:t>
            </w:r>
          </w:p>
        </w:tc>
        <w:tc>
          <w:tcPr/>
          <w:p>
            <w:pPr>
              <w:pStyle w:val="Compact"/>
              <w:jc w:val="left"/>
            </w:pPr>
            <w:r>
              <w:rPr>
                <w:b/>
                <w:bCs/>
              </w:rPr>
              <w:t>205</w:t>
            </w:r>
          </w:p>
        </w:tc>
      </w:tr>
    </w:tbl>
    <w:p>
      <w:pPr>
        <w:pStyle w:val="BodyText"/>
      </w:pPr>
      <w:r>
        <w:rPr>
          <w:b/>
          <w:bCs/>
        </w:rPr>
        <w:t>Table 2. Primary family (α = 0.10, split CP, confirmatory seed = 1). Verdicts under family-wise Holm correction (H0: true coverage ≥ 0.90). LR = logistic-regression primary reference; LGBM = LightGBM comparator (not in the test family).</w:t>
      </w:r>
      <w:r/>
      <w:r/>
    </w:p>
    <w:tbl>
      <w:tblPr>
        <w:tblStyle w:val="Table"/>
        <w:tblW w:type="pct" w:w="4906"/>
        <w:tblLayout w:type="fixed"/>
        <w:tblLook w:firstRow="1" w:lastRow="0" w:firstColumn="0" w:lastColumn="0" w:noHBand="0" w:noVBand="0" w:val="0020"/>
      </w:tblPr>
      <w:tblGrid>
        <w:gridCol w:w="1718"/>
        <w:gridCol w:w="821"/>
        <w:gridCol w:w="821"/>
        <w:gridCol w:w="1867"/>
        <w:gridCol w:w="1419"/>
        <w:gridCol w:w="1120"/>
      </w:tblGrid>
      <w:tr>
        <w:trPr>
          <w:tblHeader w:val="on"/>
        </w:trPr>
        <w:tc>
          <w:tcPr/>
          <w:p>
            <w:pPr>
              <w:pStyle w:val="Compact"/>
              <w:jc w:val="left"/>
            </w:pPr>
            <w:r>
              <w:t>Direction</w:t>
            </w:r>
          </w:p>
        </w:tc>
        <w:tc>
          <w:tcPr/>
          <w:p>
            <w:pPr>
              <w:pStyle w:val="Compact"/>
              <w:jc w:val="left"/>
            </w:pPr>
            <w:r>
              <w:t>Model</w:t>
            </w:r>
          </w:p>
        </w:tc>
        <w:tc>
          <w:tcPr/>
          <w:p>
            <w:pPr>
              <w:pStyle w:val="Compact"/>
              <w:jc w:val="left"/>
            </w:pPr>
            <w:r>
              <w:t>K/n</w:t>
            </w:r>
          </w:p>
        </w:tc>
        <w:tc>
          <w:tcPr/>
          <w:p>
            <w:pPr>
              <w:pStyle w:val="Compact"/>
              <w:jc w:val="left"/>
            </w:pPr>
            <w:r>
              <w:t>Coverage [95% CI]</w:t>
            </w:r>
          </w:p>
        </w:tc>
        <w:tc>
          <w:tcPr/>
          <w:p>
            <w:pPr>
              <w:pStyle w:val="Compact"/>
              <w:jc w:val="left"/>
            </w:pPr>
            <w:r>
              <w:t>Holm q</w:t>
            </w:r>
          </w:p>
        </w:tc>
        <w:tc>
          <w:tcPr/>
          <w:p>
            <w:pPr>
              <w:pStyle w:val="Compact"/>
              <w:jc w:val="left"/>
            </w:pPr>
            <w:r>
              <w:t>Verdict</w:t>
            </w:r>
          </w:p>
        </w:tc>
      </w:tr>
      <w:tr>
        <w:tc>
          <w:tcPr/>
          <w:p>
            <w:pPr>
              <w:pStyle w:val="Compact"/>
              <w:jc w:val="left"/>
            </w:pPr>
            <w:r>
              <w:t>Tappy→MIT</w:t>
            </w:r>
          </w:p>
        </w:tc>
        <w:tc>
          <w:tcPr/>
          <w:p>
            <w:pPr>
              <w:pStyle w:val="Compact"/>
              <w:jc w:val="left"/>
            </w:pPr>
            <w:r>
              <w:t>LR</w:t>
            </w:r>
          </w:p>
        </w:tc>
        <w:tc>
          <w:tcPr/>
          <w:p>
            <w:pPr>
              <w:pStyle w:val="Compact"/>
              <w:jc w:val="left"/>
            </w:pPr>
            <w:r>
              <w:t>49/82</w:t>
            </w:r>
          </w:p>
        </w:tc>
        <w:tc>
          <w:tcPr/>
          <w:p>
            <w:pPr>
              <w:pStyle w:val="Compact"/>
              <w:jc w:val="left"/>
            </w:pPr>
            <w:r>
              <w:t>0.598 [0.483, 0.704]</w:t>
            </w:r>
          </w:p>
        </w:tc>
        <w:tc>
          <w:tcPr/>
          <w:p>
            <w:pPr>
              <w:pStyle w:val="Compact"/>
              <w:jc w:val="left"/>
            </w:pPr>
            <w:r>
              <w:t>1.2×10⁻¹²</w:t>
            </w:r>
          </w:p>
        </w:tc>
        <w:tc>
          <w:tcPr/>
          <w:p>
            <w:pPr>
              <w:pStyle w:val="Compact"/>
              <w:jc w:val="left"/>
            </w:pPr>
            <w:r>
              <w:t>Incompatible</w:t>
            </w:r>
          </w:p>
        </w:tc>
      </w:tr>
      <w:tr>
        <w:tc>
          <w:tcPr/>
          <w:p>
            <w:pPr>
              <w:pStyle w:val="Compact"/>
              <w:jc w:val="left"/>
            </w:pPr>
            <w:r>
              <w:t>Tappy→MIT</w:t>
            </w:r>
          </w:p>
        </w:tc>
        <w:tc>
          <w:tcPr/>
          <w:p>
            <w:pPr>
              <w:pStyle w:val="Compact"/>
              <w:jc w:val="left"/>
            </w:pPr>
            <w:r>
              <w:t>LGBM</w:t>
            </w:r>
          </w:p>
        </w:tc>
        <w:tc>
          <w:tcPr/>
          <w:p>
            <w:pPr>
              <w:pStyle w:val="Compact"/>
              <w:jc w:val="left"/>
            </w:pPr>
            <w:r>
              <w:t>79/82</w:t>
            </w:r>
          </w:p>
        </w:tc>
        <w:tc>
          <w:tcPr/>
          <w:p>
            <w:pPr>
              <w:pStyle w:val="Compact"/>
              <w:jc w:val="left"/>
            </w:pPr>
            <w:r>
              <w:t>0.963 [0.897, 0.992]</w:t>
            </w:r>
          </w:p>
        </w:tc>
        <w:tc>
          <w:tcPr/>
          <w:p>
            <w:pPr>
              <w:pStyle w:val="Compact"/>
              <w:jc w:val="left"/>
            </w:pPr>
            <w:r>
              <w:t>—</w:t>
            </w:r>
          </w:p>
        </w:tc>
        <w:tc>
          <w:tcPr/>
          <w:p>
            <w:pPr>
              <w:pStyle w:val="Compact"/>
              <w:jc w:val="left"/>
            </w:pPr>
            <w:r>
              <w:t>—</w:t>
            </w:r>
          </w:p>
        </w:tc>
      </w:tr>
      <w:tr>
        <w:tc>
          <w:tcPr/>
          <w:p>
            <w:pPr>
              <w:pStyle w:val="Compact"/>
              <w:jc w:val="left"/>
            </w:pPr>
            <w:r>
              <w:t>MIT→Tappy</w:t>
            </w:r>
          </w:p>
        </w:tc>
        <w:tc>
          <w:tcPr/>
          <w:p>
            <w:pPr>
              <w:pStyle w:val="Compact"/>
              <w:jc w:val="left"/>
            </w:pPr>
            <w:r>
              <w:t>LR</w:t>
            </w:r>
          </w:p>
        </w:tc>
        <w:tc>
          <w:tcPr/>
          <w:p>
            <w:pPr>
              <w:pStyle w:val="Compact"/>
              <w:jc w:val="left"/>
            </w:pPr>
            <w:r>
              <w:t>147/173</w:t>
            </w:r>
          </w:p>
        </w:tc>
        <w:tc>
          <w:tcPr/>
          <w:p>
            <w:pPr>
              <w:pStyle w:val="Compact"/>
              <w:jc w:val="left"/>
            </w:pPr>
            <w:r>
              <w:t>0.850 [0.788, 0.899]</w:t>
            </w:r>
          </w:p>
        </w:tc>
        <w:tc>
          <w:tcPr/>
          <w:p>
            <w:pPr>
              <w:pStyle w:val="Compact"/>
              <w:jc w:val="left"/>
            </w:pPr>
            <w:r>
              <w:t>0.023</w:t>
            </w:r>
          </w:p>
        </w:tc>
        <w:tc>
          <w:tcPr/>
          <w:p>
            <w:pPr>
              <w:pStyle w:val="Compact"/>
              <w:jc w:val="left"/>
            </w:pPr>
            <w:r>
              <w:t>Incompatible</w:t>
            </w:r>
          </w:p>
        </w:tc>
      </w:tr>
      <w:tr>
        <w:tc>
          <w:tcPr/>
          <w:p>
            <w:pPr>
              <w:pStyle w:val="Compact"/>
              <w:jc w:val="left"/>
            </w:pPr>
            <w:r>
              <w:t>MIT→Tappy</w:t>
            </w:r>
          </w:p>
        </w:tc>
        <w:tc>
          <w:tcPr/>
          <w:p>
            <w:pPr>
              <w:pStyle w:val="Compact"/>
              <w:jc w:val="left"/>
            </w:pPr>
            <w:r>
              <w:t>LGBM</w:t>
            </w:r>
          </w:p>
        </w:tc>
        <w:tc>
          <w:tcPr/>
          <w:p>
            <w:pPr>
              <w:pStyle w:val="Compact"/>
              <w:jc w:val="left"/>
            </w:pPr>
            <w:r>
              <w:t>171/173</w:t>
            </w:r>
          </w:p>
        </w:tc>
        <w:tc>
          <w:tcPr/>
          <w:p>
            <w:pPr>
              <w:pStyle w:val="Compact"/>
              <w:jc w:val="left"/>
            </w:pPr>
            <w:r>
              <w:t>0.988 [0.959, 0.999]</w:t>
            </w:r>
          </w:p>
        </w:tc>
        <w:tc>
          <w:tcPr/>
          <w:p>
            <w:pPr>
              <w:pStyle w:val="Compact"/>
              <w:jc w:val="left"/>
            </w:pPr>
            <w:r>
              <w:t>—</w:t>
            </w:r>
          </w:p>
        </w:tc>
        <w:tc>
          <w:tcPr/>
          <w:p>
            <w:pPr>
              <w:pStyle w:val="Compact"/>
              <w:jc w:val="left"/>
            </w:pPr>
            <w:r>
              <w:t>—</w:t>
            </w:r>
          </w:p>
        </w:tc>
      </w:tr>
      <w:tr>
        <w:tc>
          <w:tcPr/>
          <w:p>
            <w:pPr>
              <w:pStyle w:val="Compact"/>
              <w:jc w:val="left"/>
            </w:pPr>
            <w:r>
              <w:t>Clinical→Self-report</w:t>
            </w:r>
          </w:p>
        </w:tc>
        <w:tc>
          <w:tcPr/>
          <w:p>
            <w:pPr>
              <w:pStyle w:val="Compact"/>
              <w:jc w:val="left"/>
            </w:pPr>
            <w:r>
              <w:t>LR</w:t>
            </w:r>
          </w:p>
        </w:tc>
        <w:tc>
          <w:tcPr/>
          <w:p>
            <w:pPr>
              <w:pStyle w:val="Compact"/>
              <w:jc w:val="left"/>
            </w:pPr>
            <w:r>
              <w:t>268/366</w:t>
            </w:r>
          </w:p>
        </w:tc>
        <w:tc>
          <w:tcPr/>
          <w:p>
            <w:pPr>
              <w:pStyle w:val="Compact"/>
              <w:jc w:val="left"/>
            </w:pPr>
            <w:r>
              <w:t>0.732 [0.684, 0.777]</w:t>
            </w:r>
          </w:p>
        </w:tc>
        <w:tc>
          <w:tcPr/>
          <w:p>
            <w:pPr>
              <w:pStyle w:val="Compact"/>
              <w:jc w:val="left"/>
            </w:pPr>
            <w:r>
              <w:t>2.5×10⁻¹⁹</w:t>
            </w:r>
          </w:p>
        </w:tc>
        <w:tc>
          <w:tcPr/>
          <w:p>
            <w:pPr>
              <w:pStyle w:val="Compact"/>
              <w:jc w:val="left"/>
            </w:pPr>
            <w:r>
              <w:t>Incompatible</w:t>
            </w:r>
          </w:p>
        </w:tc>
      </w:tr>
      <w:tr>
        <w:tc>
          <w:tcPr/>
          <w:p>
            <w:pPr>
              <w:pStyle w:val="Compact"/>
              <w:jc w:val="left"/>
            </w:pPr>
            <w:r>
              <w:t>Clinical→Self-report</w:t>
            </w:r>
          </w:p>
        </w:tc>
        <w:tc>
          <w:tcPr/>
          <w:p>
            <w:pPr>
              <w:pStyle w:val="Compact"/>
              <w:jc w:val="left"/>
            </w:pPr>
            <w:r>
              <w:t>LGBM</w:t>
            </w:r>
          </w:p>
        </w:tc>
        <w:tc>
          <w:tcPr/>
          <w:p>
            <w:pPr>
              <w:pStyle w:val="Compact"/>
              <w:jc w:val="left"/>
            </w:pPr>
            <w:r>
              <w:t>354/366</w:t>
            </w:r>
          </w:p>
        </w:tc>
        <w:tc>
          <w:tcPr/>
          <w:p>
            <w:pPr>
              <w:pStyle w:val="Compact"/>
              <w:jc w:val="left"/>
            </w:pPr>
            <w:r>
              <w:t>0.967 [0.943, 0.983]</w:t>
            </w:r>
          </w:p>
        </w:tc>
        <w:tc>
          <w:tcPr/>
          <w:p>
            <w:pPr>
              <w:pStyle w:val="Compact"/>
              <w:jc w:val="left"/>
            </w:pPr>
            <w:r>
              <w:t>—</w:t>
            </w:r>
          </w:p>
        </w:tc>
        <w:tc>
          <w:tcPr/>
          <w:p>
            <w:pPr>
              <w:pStyle w:val="Compact"/>
              <w:jc w:val="left"/>
            </w:pPr>
            <w:r>
              <w:t>—</w:t>
            </w:r>
          </w:p>
        </w:tc>
      </w:tr>
    </w:tbl>
    <w:bookmarkEnd w:id="33"/>
    <w:bookmarkStart w:id="55" w:name="figures"/>
    <w:p>
      <w:pPr>
        <w:pStyle w:val="Heading1"/>
      </w:pPr>
      <w:r>
        <w:t>Figures</w:t>
      </w:r>
    </w:p>
    <w:p>
      <w:pPr>
        <w:pStyle w:val="FirstParagraph"/>
      </w:pPr>
      <w:r>
        <w:rPr>
          <w:b/>
          <w:bCs/>
        </w:rPr>
        <w:t>Fig. 1 Primary-family coverage on target cohorts (Clopper–Pearson 95% CI). Dashed line = nominal 0.90; dotted = pre-specified operational audit threshold 0.80. LR = primary reference; LGBM = comparator</w:t>
      </w:r>
      <w:r/>
      <w:r/>
    </w:p>
    <w:p>
      <w:pPr>
        <w:pStyle w:val="CaptionedFigure"/>
      </w:pPr>
      <w:r>
        <w:drawing>
          <wp:inline>
            <wp:extent cx="5330952" cy="2295271"/>
            <wp:docPr id="1" name="Picture 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30952" cy="2295271"/>
                    </a:xfrm>
                    <a:prstGeom prst="rect"/>
                  </pic:spPr>
                </pic:pic>
              </a:graphicData>
            </a:graphic>
          </wp:inline>
        </w:drawing>
      </w:r>
    </w:p>
    <w:p>
      <w:pPr>
        <w:pStyle w:val="CaptionedFigure"/>
      </w:pPr>
      <w:r/>
    </w:p>
    <w:p>
      <w:pPr>
        <w:pStyle w:val="ImageCaption"/>
      </w:pPr>
      <w:r>
        <w:t>Fig1</w:t>
      </w:r>
    </w:p>
    <w:p>
      <w:pPr>
        <w:pStyle w:val="BodyText"/>
      </w:pPr>
      <w:r>
        <w:rPr>
          <w:b/>
          <w:bCs/>
        </w:rPr>
        <w:t>Fig. 2 PD/HC class-conditional coverage (measured, unadjusted failure-mode diagnostic — not a guarantee). Left = LR; right = LGBM. Squares = PD; circles = HC; annotations give per-class n</w:t>
      </w:r>
      <w:r/>
      <w:r/>
    </w:p>
    <w:p>
      <w:pPr>
        <w:pStyle w:val="CaptionedFigure"/>
      </w:pPr>
      <w:r>
        <w:drawing>
          <wp:inline>
            <wp:extent cx="5330952" cy="2221230"/>
            <wp:docPr id="2" name="Picture 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30952" cy="2221230"/>
                    </a:xfrm>
                    <a:prstGeom prst="rect"/>
                  </pic:spPr>
                </pic:pic>
              </a:graphicData>
            </a:graphic>
          </wp:inline>
        </w:drawing>
      </w:r>
    </w:p>
    <w:p>
      <w:pPr>
        <w:pStyle w:val="CaptionedFigure"/>
      </w:pPr>
      <w:r/>
    </w:p>
    <w:p>
      <w:pPr>
        <w:pStyle w:val="ImageCaption"/>
      </w:pPr>
      <w:r>
        <w:t>Fig2</w:t>
      </w:r>
    </w:p>
    <w:p>
      <w:pPr>
        <w:pStyle w:val="BodyText"/>
      </w:pPr>
      <w:r>
        <w:rPr>
          <w:b/>
          <w:bCs/>
        </w:rPr>
        <w:t>Fig. 3 Decoupling map: ΔAUC vs Δcoverage (50-seed means; 12 non-independent directions — descriptive, no correlation test). Left = LR; right = LGBM. Labels: dataset initials T = Tappy, M = MIT, Y = TyPD, O = Online English; arrow = transfer direction</w:t>
      </w:r>
      <w:r/>
      <w:r/>
    </w:p>
    <w:p>
      <w:pPr>
        <w:pStyle w:val="CaptionedFigure"/>
      </w:pPr>
      <w:r>
        <w:drawing>
          <wp:inline>
            <wp:extent cx="5330952" cy="2517394"/>
            <wp:docPr id="3" name="Picture 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30952" cy="2517394"/>
                    </a:xfrm>
                    <a:prstGeom prst="rect"/>
                  </pic:spPr>
                </pic:pic>
              </a:graphicData>
            </a:graphic>
          </wp:inline>
        </w:drawing>
      </w:r>
    </w:p>
    <w:p>
      <w:pPr>
        <w:pStyle w:val="CaptionedFigure"/>
      </w:pPr>
      <w:r/>
    </w:p>
    <w:p>
      <w:pPr>
        <w:pStyle w:val="ImageCaption"/>
      </w:pPr>
      <w:r>
        <w:t>Fig3</w:t>
      </w:r>
    </w:p>
    <w:p>
      <w:pPr>
        <w:pStyle w:val="BodyText"/>
      </w:pPr>
      <w:r>
        <w:rPr>
          <w:b/>
          <w:bCs/>
        </w:rPr>
        <w:t>Fig. 4 Recovery-cost curves. Open markers = degenerate full-set calibration (m&lt;9); stars = weighted CP at 0 labels (rejection 0.86–1.00): coverage without utility. Non-monotonic segments reflect single-draw sampling noise. Audit 0.80 = pre-specified operational audit threshold. The Tappy→MIT and MIT→Tappy weighted-CP stars coincide at (0 labels, coverage 1.00) and are offset horizontally for visibility.</w:t>
      </w:r>
      <w:r/>
      <w:r/>
    </w:p>
    <w:p>
      <w:pPr>
        <w:pStyle w:val="CaptionedFigure"/>
      </w:pPr>
      <w:r>
        <w:drawing>
          <wp:inline>
            <wp:extent cx="5330952" cy="2665476"/>
            <wp:docPr id="4"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30952" cy="2665476"/>
                    </a:xfrm>
                    <a:prstGeom prst="rect"/>
                  </pic:spPr>
                </pic:pic>
              </a:graphicData>
            </a:graphic>
          </wp:inline>
        </w:drawing>
      </w:r>
    </w:p>
    <w:p>
      <w:pPr>
        <w:pStyle w:val="CaptionedFigure"/>
      </w:pPr>
      <w:r/>
    </w:p>
    <w:p>
      <w:pPr>
        <w:pStyle w:val="ImageCaption"/>
      </w:pPr>
      <w:r>
        <w:t>Fig4</w:t>
      </w:r>
    </w:p>
    <w:p>
      <w:pPr>
        <w:pStyle w:val="BodyText"/>
      </w:pPr>
      <w:r>
        <w:rPr>
          <w:b/>
          <w:bCs/>
        </w:rPr>
        <w:t>Fig. 5 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r/>
      <w:r/>
    </w:p>
    <w:p>
      <w:pPr>
        <w:pStyle w:val="CaptionedFigure"/>
      </w:pPr>
      <w:r>
        <w:drawing>
          <wp:inline>
            <wp:extent cx="5330952" cy="2295271"/>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30952" cy="2295271"/>
                    </a:xfrm>
                    <a:prstGeom prst="rect"/>
                  </pic:spPr>
                </pic:pic>
              </a:graphicData>
            </a:graphic>
          </wp:inline>
        </w:drawing>
      </w:r>
    </w:p>
    <w:p>
      <w:pPr>
        <w:pStyle w:val="CaptionedFigure"/>
      </w:pPr>
      <w:r/>
    </w:p>
    <w:p>
      <w:pPr>
        <w:pStyle w:val="ImageCaption"/>
      </w:pPr>
      <w:r>
        <w:t>Fig5</w:t>
      </w:r>
    </w:p>
    <w:p>
      <w:pPr>
        <w:pStyle w:val="BodyText"/>
      </w:pPr>
      <w:r>
        <w:rPr>
          <w:b/>
          <w:bCs/>
        </w:rPr>
        <w:t>Fig. 6 Controlled stress tests, Tappy→MIT direction. A: calibration-only synthetic label-flip dose–response on the clinical source (theory-aligned). B: train+calibration label flips (deployment scope). C: three-arm real-transfer test — PD/HC-conditional coverage for the observed phenotype vs prevalence re-matching (pool level), prevalence-preserving flips and their combination (train+calibration scope). Shaded bands indicate the pre-specified ±5 percentage-point practical-equivalence tolerance around the observed phenotype; they are not confidence intervals</w:t>
      </w:r>
    </w:p>
    <w:p>
      <w:pPr>
        <w:pStyle w:val="CaptionedFigure"/>
      </w:pPr>
      <w:r>
        <w:drawing>
          <wp:inline>
            <wp:extent cx="5330952" cy="6515608"/>
            <wp:docPr id="6" name="Picture 6"/>
            <wp:cNvGraphicFramePr>
              <a:graphicFrameLocks noChangeAspect="1"/>
            </wp:cNvGraphicFramePr>
            <a:graphic>
              <a:graphicData uri="http://schemas.openxmlformats.org/drawingml/2006/picture">
                <pic:pic>
                  <pic:nvPicPr>
                    <pic:cNvPr id="0" name="fig6_stress_tests.png"/>
                    <pic:cNvPicPr/>
                  </pic:nvPicPr>
                  <pic:blipFill>
                    <a:blip r:embed="rId9"/>
                    <a:stretch>
                      <a:fillRect/>
                    </a:stretch>
                  </pic:blipFill>
                  <pic:spPr>
                    <a:xfrm>
                      <a:off x="0" y="0"/>
                      <a:ext cx="5330952" cy="6515608"/>
                    </a:xfrm>
                    <a:prstGeom prst="rect"/>
                  </pic:spPr>
                </pic:pic>
              </a:graphicData>
            </a:graphic>
          </wp:inline>
        </w:drawing>
      </w:r>
    </w:p>
    <w:p>
      <w:pPr>
        <w:pStyle w:val="CaptionedFigure"/>
      </w:pPr>
      <w:r/>
    </w:p>
    <w:p>
      <w:pPr>
        <w:pStyle w:val="ImageCaption"/>
      </w:pPr>
      <w:r>
        <w:t>Fig6</w:t>
      </w:r>
    </w:p>
    <w:p>
      <w:pPr>
        <w:pStyle w:val="BodyText"/>
      </w:pPr>
      <w:r>
        <w:rPr>
          <w:b/>
          <w:bCs/>
        </w:rPr>
        <w:t>Fig. 7 Twelve-direction transfer heatmap of mean test AUC (50 seeds), primary reference model. Rows = source dataset, columns = target dataset; the diagonal (in-domain) is not evaluated. Cell values are point estimates; the diverging colour scale spans 0.4–1.0</w:t>
      </w:r>
      <w:r/>
      <w:r/>
    </w:p>
    <w:p>
      <w:pPr>
        <w:pStyle w:val="CaptionedFigure"/>
      </w:pPr>
      <w:r>
        <w:drawing>
          <wp:inline>
            <wp:extent cx="5330952" cy="4427401"/>
            <wp:docPr id="7" name="Picture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330952" cy="4427401"/>
                    </a:xfrm>
                    <a:prstGeom prst="rect"/>
                  </pic:spPr>
                </pic:pic>
              </a:graphicData>
            </a:graphic>
          </wp:inline>
        </w:drawing>
      </w:r>
    </w:p>
    <w:p>
      <w:pPr>
        <w:pStyle w:val="CaptionedFigure"/>
      </w:pPr>
      <w:r/>
    </w:p>
    <w:p>
      <w:pPr>
        <w:pStyle w:val="ImageCaption"/>
      </w:pPr>
      <w:r>
        <w:t>Fig7</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2026-09-29T00:53:10Z</dcterms:created>
  <dcterms:modified xsi:type="dcterms:W3CDTF">2026-09-29T00:53:10Z</dcterms:modified>
</cp:coreProperties>
</file>

<file path=docProps/custom.xml><?xml version="1.0" encoding="utf-8"?>
<Properties xmlns="http://schemas.openxmlformats.org/officeDocument/2006/custom-properties" xmlns:vt="http://schemas.openxmlformats.org/officeDocument/2006/docPropsVTypes"/>
</file>