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c0de58872f3d41524c8abf166b681918ce4f957"/>
    <w:p>
      <w:pPr>
        <w:pStyle w:val="Heading1"/>
      </w:pPr>
      <w:r>
        <w:t xml:space="preserve">Score-Dependent Conformal Coverage Under Cross-Dataset Deployment of Parkinson’s Disease Typing Classifiers: A Pre-Registered Four-Dataset Audit</w:t>
      </w:r>
    </w:p>
    <w:p>
      <w:pPr>
        <w:pStyle w:val="FirstParagraph"/>
      </w:pPr>
      <w:r>
        <w:rPr>
          <w:b/>
          <w:bCs/>
        </w:rPr>
        <w:t xml:space="preserve">Authors:</w:t>
      </w:r>
      <w:r>
        <w:t xml:space="preserve"> </w:t>
      </w:r>
      <w:r>
        <w:t xml:space="preserve">Taylor [Given name, Family name]¹</w:t>
      </w:r>
    </w:p>
    <w:p>
      <w:pPr>
        <w:pStyle w:val="BodyText"/>
      </w:pPr>
      <w:r>
        <w:t xml:space="preserve">¹ [Department, Institution, City, Country]</w:t>
      </w:r>
    </w:p>
    <w:p>
      <w:pPr>
        <w:pStyle w:val="BodyText"/>
      </w:pPr>
      <w:r>
        <w:rPr>
          <w:b/>
          <w:bCs/>
        </w:rPr>
        <w:t xml:space="preserve">Corresponding author:</w:t>
      </w:r>
      <w:r>
        <w:t xml:space="preserve"> </w:t>
      </w:r>
      <w:r>
        <w:t xml:space="preserve">[Given name, Family name]; e-mail: [to be completed]</w:t>
      </w:r>
    </w:p>
    <w:p>
      <w:pPr>
        <w:pStyle w:val="BodyText"/>
      </w:pPr>
      <w:r>
        <w:rPr>
          <w:b/>
          <w:bCs/>
        </w:rPr>
        <w:t xml:space="preserve">ORCID:</w:t>
      </w:r>
      <w:r>
        <w:t xml:space="preserve"> </w:t>
      </w:r>
      <w:r>
        <w:t xml:space="preserve">[16-digit iD to be completed]</w:t>
      </w:r>
    </w:p>
    <w:p>
      <w:r>
        <w:br w:type="page"/>
      </w:r>
    </w:p>
    <w:bookmarkStart w:id="9" w:name="abstract"/>
    <w:p>
      <w:pPr>
        <w:pStyle w:val="Heading2"/>
      </w:pPr>
      <w:r>
        <w:t xml:space="preserve">Abstract</w:t>
      </w:r>
    </w:p>
    <w:p>
      <w:pPr>
        <w:pStyle w:val="FirstParagraph"/>
      </w:pPr>
      <w:r>
        <w:t xml:space="preserve">Conformal prediction (CP) provides distribution-free prediction sets with guaranteed marginal coverage under exchangeability. In keystroke-based Parkinson’s disease (PD) detection, cross-dataset deployment degrades discrimination, but the fate of the coverage guarantee had not been audited. Under a pre-registered protocol, we audited split-CP coverage (α = 0.10; logistic-regression reference model) under cross-dataset deployment across four public keystroke datasets (frozen cohort: 475 subjects). The pre-registered primary family covered three high-power transfer directions with Holm correction; coverage conditional on PD versus healthy-control (HC) class was a pre-specified safety diagnostic; recovery (target-domain calibration budgets) and attribution (prevalence-resampling and label-flip stress tests) were pre-registered secondary analyses. All three primary directions were Incompatible — a pre-registered verdict of statistical incompatibility with the nominal 0.90 level, not a clinical determination (family-controlled): Tappy→MIT 0.598 [95% confidence interval (CI) 0.483–0.704], MIT→Tappy 0.850 [0.788–0.899], clinical-pool→self-report 0.732 [0.684–0.777]. Marginal totals concealed class asymmetry (PD-conditional coverage 0.214 in Tappy→MIT; HC 1.000). Coverage degradation was score-dependent: a LightGBM comparator with lower discrimination maintained 0.925–1.000 class-conditional coverage in every primary direction. In these cohorts, the 0.80 audit threshold was reached with 9 and 18 target labels but not in Tappy→MIT within a 30% budget by the CI criterion; label-free weighting attained nominal coverage only by abstaining on 86–100% of subjects. Prevalence re-matching and label corruption did not reproduce the observed phenotype. Discrimination and coverage behave as distinct reliability dimensions under deployment shift; deployment reporting should include coverage audits and class-conditional diagnostics alongside the area under the receiver operating characteristic curve (AUC).</w:t>
      </w:r>
    </w:p>
    <w:p>
      <w:pPr>
        <w:pStyle w:val="BodyText"/>
      </w:pPr>
      <w:r>
        <w:rPr>
          <w:b/>
          <w:bCs/>
        </w:rPr>
        <w:t xml:space="preserve">Keywords:</w:t>
      </w:r>
      <w:r>
        <w:t xml:space="preserve"> </w:t>
      </w:r>
      <w:r>
        <w:t xml:space="preserve">conformal prediction; Parkinson’s disease; keystroke dynamics; coverage audit; cross-dataset deployment; clinical decision support</w:t>
      </w:r>
    </w:p>
    <w:bookmarkEnd w:id="9"/>
    <w:bookmarkStart w:id="10" w:name="introduction"/>
    <w:p>
      <w:pPr>
        <w:pStyle w:val="Heading2"/>
      </w:pPr>
      <w:r>
        <w:t xml:space="preserve">1. Introduction</w:t>
      </w:r>
    </w:p>
    <w:p>
      <w:pPr>
        <w:pStyle w:val="FirstParagraph"/>
      </w:pPr>
      <w:r>
        <w:t xml:space="preserve">Keystroke dynamics have been proposed as a scalable digital-biomarker candidate for Parkinson’s disease (PD) screening, and public datasets have supported a decade of classifier development [1–3] evaluated almost exclusively by discrimination — typically the area under the receiver operating characteristic curve (AUC) under cross-dataset transfer, where degradation is well documented [4]. A deployed screening system must deliver a second property: calibrated uncertainty. Coverage is the promised rate at which the system’s prediction sets contain the true diagnosis; when coverage fails, the system is miscalibrated — worst of all when it outputs a single confident label that is wrong, which is precisely the case a triage workflow cannot afford. Conformal prediction (CP) promises such calibration: under exchangeability, split CP covers the true label with probability at least 1−α regardless of the underlying model [5,6]. Deployment across datasets breaks exchangeability, and the behavior of CP coverage under realistic clinical data shift has been studied mostly in theory or outside medicine [7–10]. To our knowledge, no prior study has systematically audited conformal prediction coverage across publicly available Parkinson’s keystroke datasets under cross-dataset deployment.</w:t>
      </w:r>
    </w:p>
    <w:p>
      <w:pPr>
        <w:pStyle w:val="BodyText"/>
      </w:pPr>
      <w:r>
        <w:t xml:space="preserve">This audit characterizes whether discrimination degradation and coverage degradation exhibit non-identical patterns across deployment shifts (pre-registered hypothesis H1). We addressed three questions: (RQ1) Does marginal conformal coverage remain statistically compatible with the nominal 0.90 level under cross-dataset deployment? (RQ2) Are coverage degradation and discrimination degradation coupled across transfer directions and score functions? (RQ3) Can target recalibration, or controlled prevalence and label-shift interventions, restore or explain the observed coverage phenotype? The audit evaluates research-grade classifiers on public datasets; it establishes no clinical screening validity, and the models studied are not validated screening devices. We report the work as a mapping-reliability audit rather than a failure claim: the pre-registered verdict vocabulary asserts statistical compatibility with a pre-specified operational audit threshold, not clinical failure, and primary outcomes were not conditioned on observing degradation.</w:t>
      </w:r>
    </w:p>
    <w:p>
      <w:pPr>
        <w:pStyle w:val="BodyText"/>
      </w:pPr>
      <w:r>
        <w:t xml:space="preserve">The study contributes: (i) a pre-registered, embargoed systematic audit of CP coverage across four public PD keystroke datasets, with a frozen cohort and family-wise controlled primary endpoints; (ii) a coverage–discrimination decoupling map across all 12 ordered transfer directions and two score functions; (iii) in-the-wild quantification of heterogeneous label sources (clinical vs self-report) on coverage, with controlled-shift stress tests; and (iv) an open audit toolkit (three-tier feature system, coverage-restoration unit tests including an independent oracle for weighted CP, pre-registered protocol, and an illustrative coverage-to-workflow mapping: singleton = auto-pass, doubleton = manual review, full set = system rejection).</w:t>
      </w:r>
    </w:p>
    <w:bookmarkEnd w:id="10"/>
    <w:bookmarkStart w:id="16" w:name="methods"/>
    <w:p>
      <w:pPr>
        <w:pStyle w:val="Heading2"/>
      </w:pPr>
      <w:r>
        <w:t xml:space="preserve">2. Methods</w:t>
      </w:r>
    </w:p>
    <w:bookmarkStart w:id="11" w:name="data-and-cohorts"/>
    <w:p>
      <w:pPr>
        <w:pStyle w:val="Heading3"/>
      </w:pPr>
      <w:r>
        <w:t xml:space="preserve">2.1 Data and cohorts</w:t>
      </w:r>
    </w:p>
    <w:p>
      <w:pPr>
        <w:pStyle w:val="FirstParagraph"/>
      </w:pPr>
      <w:r>
        <w:t xml:space="preserve">Four public datasets were used: MIT-CSXPD (clinical gold standard), Tappy Keplar (self-report, bring-your-own-device), TyPD (clinical, i-PROGNOSIS), and Online English (OE; self-report, web-based). Cleaning rules were pre-registered and label-blind (seven steps; session validity ≥ 100 digraphs; person eligibility ≥ 300 valid digraphs). The frozen cohort comprised 475 subjects (PD 270 / healthy-control (HC) 205): MIT 82 (42/40), Tappy 173 (133/40), TyPD 27 (12/15), and Online English 193 (83/110) (Table 1). PD status was defined by clinical diagnosis fields (MIT, TyPD) or self-report fields (Tappy, OE). Three Tappy participants reporting tremor without PD diagnosis were excluded from the primary analysis; dual re-inclusion is reported as sensitivity.</w:t>
      </w:r>
    </w:p>
    <w:p>
      <w:pPr>
        <w:pStyle w:val="BodyText"/>
      </w:pPr>
      <w:r>
        <w:t xml:space="preserve">This study used exclusively de-identified public datasets released for research use; no new human data were collected and no intervention occurred. We report with reference to the TRIPOD+AI statement [14] where applicable; the completed checklist accompanies the submission as supplementary material. The analysis plan was pre-registered on the Open Science Framework before any cross-dataset coverage was computed (2-year embargo; frozen plan v1, tag</w:t>
      </w:r>
      <w:r>
        <w:t xml:space="preserve"> </w:t>
      </w:r>
      <w:r>
        <w:rPr>
          <w:rStyle w:val="VerbatimChar"/>
        </w:rPr>
        <w:t xml:space="preserve">v1.0-prereg</w:t>
      </w:r>
      <w:r>
        <w:t xml:space="preserve">; access during embargo on request). An LLM-based coding agent (ZCode CLI, GLM models, accessed via API) was used under human direction for analysis-pipeline execution, code generation, and internal consistency auditing [tool version and usage dates to be completed at submission]. Representative task instructions and verification records are preserved in the version-controlled repository change logs. No LLM output was treated as evidence; all quantitative claims derive from the frozen, re-executable result tables. Manuscript-drafting assistance is disclosed under</w:t>
      </w:r>
      <w:r>
        <w:t xml:space="preserve"> </w:t>
      </w:r>
      <w:r>
        <w:t xml:space="preserve">“Use of large language models”</w:t>
      </w:r>
      <w:r>
        <w:t xml:space="preserve"> </w:t>
      </w:r>
      <w:r>
        <w:t xml:space="preserve">in the Declarations.</w:t>
      </w:r>
    </w:p>
    <w:bookmarkEnd w:id="11"/>
    <w:bookmarkStart w:id="12" w:name="features-and-models"/>
    <w:p>
      <w:pPr>
        <w:pStyle w:val="Heading3"/>
      </w:pPr>
      <w:r>
        <w:t xml:space="preserve">2.2 Features and models</w:t>
      </w:r>
    </w:p>
    <w:p>
      <w:pPr>
        <w:pStyle w:val="FirstParagraph"/>
      </w:pPr>
      <w:r>
        <w:t xml:space="preserve">Person-level features aggregate all valid digraphs of a person (one subject = one conformal observation). Three pre-registered tiers — L1: hold/latency/flight distribution summaries (15 features, all datasets); L2: hand-conditional summaries (MIT/Tappy/OE); L3: digraph-transition features (MIT/OE) — with the transfer tier fixed at the minimum of the chain’s dataset caps and recorded as an audit covariate. The effective primary reference model was ℓ2-regularized logistic regression (amendment CHG-P1: the pre-registered LightGBM failed a pre-declared in-domain gate in three documented runs and is reported as comparator with shallow-tree settings). All hyperparameters were fixed before target data were accessed; target datasets were never used for model selection.</w:t>
      </w:r>
    </w:p>
    <w:bookmarkEnd w:id="12"/>
    <w:bookmarkStart w:id="13" w:name="conformal-procedures"/>
    <w:p>
      <w:pPr>
        <w:pStyle w:val="Heading3"/>
      </w:pPr>
      <w:r>
        <w:t xml:space="preserve">2.3 Conformal procedures</w:t>
      </w:r>
    </w:p>
    <w:p>
      <w:pPr>
        <w:pStyle w:val="FirstParagraph"/>
      </w:pPr>
      <w:r>
        <w:t xml:space="preserve">Split CP used the least-ambiguous classification (LAC) score, s(x,y) = 1 − p̂(y|x), with a single pooled calibration quantile targeting marginal 1−α coverage: a stratified 30% source calibration split (single confirmatory seed = 1, the first registered seed; 50-seed summaries are descriptive), α = 0.10, and the finite-sample order-statistic quantile at level ⌈(n+1)(1−α)⌉. Class-conditional coverage was evaluated only as a diagnostic and was not used in calibration. Elements per procedure — predictor: source-trained classifier; score: LAC; calibration: the above split and quantile; guarantee target: marginal 1−α coverage on the target cohort. Pre-specified remediation arms: target-domain recalibration at 0/5/10/20/30% labeled budgets (class-stratified single draw; test on the complement); weighted CP under estimated density ratios (domain-classifier odds, pooled 99th-percentile (p99) truncation; Tibshirani et al. eq. (8) direct form [7], verified against an independent oracle; guarantee target: covariate-shift-weighted marginal 1−α — noting that truncation voids the formal guarantee, so this arm is reported as a practical intervention); and protocol-conditional recalibration (guarantee target: protocol-group-conditional 1−α). The split-CP implementation matches the MAPIE 1.5.0 reference implementation [15] pointwise (1800/1800) and passes 18 synthetic tests.</w:t>
      </w:r>
    </w:p>
    <w:bookmarkEnd w:id="13"/>
    <w:bookmarkStart w:id="14" w:name="outcomes-and-verdicts"/>
    <w:p>
      <w:pPr>
        <w:pStyle w:val="Heading3"/>
      </w:pPr>
      <w:r>
        <w:t xml:space="preserve">2.4 Outcomes and verdicts</w:t>
      </w:r>
    </w:p>
    <w:p>
      <w:pPr>
        <w:pStyle w:val="FirstParagraph"/>
      </w:pPr>
      <w:r>
        <w:t xml:space="preserve">All inferential analyses were performed at the person level: sessions and digraphs were aggregated within participant before conformal evaluation, so no participant contributed more than one target-level coverage observation. The pre-registered primary family was three high-power directions × α = 0.10 × marginal coverage — Tappy→MIT, MIT→Tappy, and clinical-pool (MIT+TyPD) → self-report (Tappy+OE) — with one-sided binomial tests (H0: true coverage ≥ 0.90) and Holm correction at family-wise 0.10 (confirmatory inference). Operationally, each direction also receives an audit label from the unadjusted 95% Clopper–Pearson interval (CI) against the pre-specified operational audit threshold of 0.80 (Compatible: lower bound ≥ 0.80; Incompatible: upper bound &lt; 0.90; else Undetermined; Incompatible priority in the overlap). The 0.80 threshold has no clinical-safety interpretation. For the primary directions the two procedures agree in this data set; the alignment of the audit-label rule with the pre-registered</w:t>
      </w:r>
      <w:r>
        <w:t xml:space="preserve"> </w:t>
      </w:r>
      <w:r>
        <w:t xml:space="preserve">“Holm-adjusted CI”</w:t>
      </w:r>
      <w:r>
        <w:t xml:space="preserve"> </w:t>
      </w:r>
      <w:r>
        <w:t xml:space="preserve">wording is recorded as an amendment in the protocol change log. PD/HC class-conditional coverage was a pre-specified safety diagnostic with exact Clopper–Pearson intervals. Even in-domain, split CP guarantees only marginal — not class-conditional — coverage; under joint covariate and label shift, class-conditional coverage may further be unidentifiable without target labels, which is why it is measured. All class-conditional, subgroup, and comparator analyses are descriptive and unadjusted.</w:t>
      </w:r>
    </w:p>
    <w:bookmarkEnd w:id="14"/>
    <w:bookmarkStart w:id="15" w:name="recovery-and-attribution"/>
    <w:p>
      <w:pPr>
        <w:pStyle w:val="Heading3"/>
      </w:pPr>
      <w:r>
        <w:t xml:space="preserve">2.5 Recovery and attribution</w:t>
      </w:r>
    </w:p>
    <w:p>
      <w:pPr>
        <w:pStyle w:val="FirstParagraph"/>
      </w:pPr>
      <w:r>
        <w:t xml:space="preserve">The pre-registered recovery-cost table crossed {naive CP, target recalibration (5/10/20/30%), weighted CP, protocol-conditional recalibration} with {target labels used, coverage, PD coverage, mean set size, singleton rate, rejection rate}. Attribution stress tests: (A) synthetic dose–response — donor-class person-level label flips at 10/20/30% in three flip directions, compared with the dispersive-noise theory of Einbinder et al. [9] via the exact calibration-side stochastic-dominance condition; (B) a three-arm real-transfer test — prevalence re-matching to 74% by resampling, prevalence-preserving two-way label flips, and their combination — against pre-specified practical-equivalence tolerances (±5 percentage points coverage; ±0.3 mean set size, corresponding to 30% of the binary set-size range); (C) black-box shift estimation (BBSE) [16], which estimates target prevalence from a source-trained classifier’s class-conditional confusion matrix under the label-shift assumption P(x|y) unchanged — validated on constructed label shift and applied descriptively to real pairs. Following the frozen wording template, these tests ask whether the manipulations are sufficient to reproduce the observed patterns; no causal identification is claimed.</w:t>
      </w:r>
    </w:p>
    <w:bookmarkEnd w:id="15"/>
    <w:bookmarkEnd w:id="16"/>
    <w:bookmarkStart w:id="23" w:name="results"/>
    <w:p>
      <w:pPr>
        <w:pStyle w:val="Heading2"/>
      </w:pPr>
      <w:r>
        <w:t xml:space="preserve">3. Results</w:t>
      </w:r>
    </w:p>
    <w:bookmarkStart w:id="17" w:name="cross-dataset-coverage-audit"/>
    <w:p>
      <w:pPr>
        <w:pStyle w:val="Heading3"/>
      </w:pPr>
      <w:r>
        <w:t xml:space="preserve">3.1 Cross-dataset coverage audit</w:t>
      </w:r>
    </w:p>
    <w:p>
      <w:pPr>
        <w:pStyle w:val="FirstParagraph"/>
      </w:pPr>
      <w:r>
        <w:t xml:space="preserve">Every primary direction fell statistically short of the nominal level under family-wise control (Table 2, Fig. 1): Tappy→MIT 0.598 [0.483, 0.704] (Holm q = 1.2×10⁻¹²), MIT→Tappy 0.850 [0.788, 0.899] (q = 0.023), clinical-pool→self-report 0.732 [0.684, 0.777] (q = 2.5×10⁻¹⁹). Prediction sets were short (mean sizes 1.11–1.53; singleton rates 0.47–0.89), so deficits reflect confident miscoverage rather than uninformative outputs. The singleton rate is the fraction of subjects receiving a single-class prediction set — the system’s committed diagnosis. The LightGBM comparator covered 0.963–0.988 in the same directions (mean set sizes 1.92–1.97; singleton rates 0.03–0.08); its higher coverage was accompanied by substantially larger prediction sets and far fewer singleton predictions.</w:t>
      </w:r>
    </w:p>
    <w:bookmarkEnd w:id="17"/>
    <w:bookmarkStart w:id="18" w:name="class-conditional-coverage-asymmetry"/>
    <w:p>
      <w:pPr>
        <w:pStyle w:val="Heading3"/>
      </w:pPr>
      <w:r>
        <w:t xml:space="preserve">3.2 Class-conditional coverage asymmetry</w:t>
      </w:r>
    </w:p>
    <w:p>
      <w:pPr>
        <w:pStyle w:val="FirstParagraph"/>
      </w:pPr>
      <w:r>
        <w:t xml:space="preserve">In Tappy→MIT, PD-conditional coverage was 0.214 [0.103, 0.368] (n = 42) while HC coverage was 1.000 (n = 40): 33 of 42 PD patients (78.6%) received sets excluding their true label — predominantly confident singletons containing only the non-PD label, i.e., false reassurance if the illustrative singleton-as-auto-pass mapping were applied (Fig. 2). The under-served class flipped with target prevalence: HC-conditional coverage was the deficient one in the two PD-heavy targets (0.700 in MIT→Tappy; 0.627 in clinical→self-report). The comparator score was near-uniform across classes (0.925–1.000). These are measured, unadjusted diagnostics on a frozen cohort, not guarantees.</w:t>
      </w:r>
    </w:p>
    <w:bookmarkEnd w:id="18"/>
    <w:bookmarkStart w:id="19" w:name="coveragediscrimination-decoupling"/>
    <w:p>
      <w:pPr>
        <w:pStyle w:val="Heading3"/>
      </w:pPr>
      <w:r>
        <w:t xml:space="preserve">3.3 Coverage–discrimination decoupling</w:t>
      </w:r>
    </w:p>
    <w:p>
      <w:pPr>
        <w:pStyle w:val="FirstParagraph"/>
      </w:pPr>
      <w:r>
        <w:t xml:space="preserve">Across all 12 transfer directions, discrimination and coverage moved asynchronously in both score functions (Fig. 3). The comparator’s mean coverage exceeded the reference’s in 11 of 12 directions despite lower AUC in all 12; reference-model directions spanning AUC 0.55–0.81 showed coverage from 0.58 to 0.91. Per the pre-registered H1 plan this is a descriptive cross-direction characterization (no significance testing across 12 non-independent directions); the pattern is the paper’s central object. The full 12-direction AUC and coverage matrices are provided in the supplement.</w:t>
      </w:r>
    </w:p>
    <w:bookmarkEnd w:id="19"/>
    <w:bookmarkStart w:id="20" w:name="target-recalibration-and-recovery-cost"/>
    <w:p>
      <w:pPr>
        <w:pStyle w:val="Heading3"/>
      </w:pPr>
      <w:r>
        <w:t xml:space="preserve">3.4 Target recalibration and recovery cost</w:t>
      </w:r>
    </w:p>
    <w:p>
      <w:pPr>
        <w:pStyle w:val="FirstParagraph"/>
      </w:pPr>
      <w:r>
        <w:t xml:space="preserve">Target recalibration with 9 labels reached the pre-specified 0.80 operational audit threshold with CI support in MIT→Tappy (0.982 [0.947, 0.996]; Fig. 4); 18 labels reached it for clinical→self-report (0.876 [0.837, 0.909], whose CI lower bound remained below the nominal 0.90 level). Tappy→MIT was different: at the first non-degenerate budget (16 labels) the point estimate crossed 0.80 (0.833), but the CI lower bound never reached 0.80 within a 30% budget (25 labels; 0.877 [0.763, 0.949]), and the PD-conditional residual persisted (0.759 vs HC 1.000) — pooled recalibration repairs the marginal quantile, not class-conditional miscalibration. These budgets are observed sufficiencies in these cohorts, not general sample-size requirements. The protocol-conditional arm, evaluated on the two-protocol merged target, did not clear the threshold at the 5% budget (0.836 [0.793, 0.874]), a different estimand from the pooled quantile. Label-free density-ratio weighting attained nominal coverage (0.918–1.000) only by abstaining on 86–100% of subjects: coverage without utility (Fig. 5). Fewer than 9 target labels yield degenerate full-set calibration sets at α = 0.10.</w:t>
      </w:r>
    </w:p>
    <w:bookmarkEnd w:id="20"/>
    <w:bookmarkStart w:id="21" w:name="Xf6093039b3c9b95029ac286670ac4c04d5753bb"/>
    <w:p>
      <w:pPr>
        <w:pStyle w:val="Heading3"/>
      </w:pPr>
      <w:r>
        <w:t xml:space="preserve">3.5 Stress tests of alternative shift explanations</w:t>
      </w:r>
    </w:p>
    <w:p>
      <w:pPr>
        <w:pStyle w:val="FirstParagraph"/>
      </w:pPr>
      <w:r>
        <w:t xml:space="preserve">Synthetic dose–response on the clinical source reproduced the form of class-conditional collapse — the HC→PD flip pinned PD-conditional coverage at 1.000 while HC-conditional coverage fell monotonically to 0.425 — and the dispersive-noise dominance condition held at the process level in 9/9 theory-aligned cells. In the three-arm test, none of prevalence re-matching, prevalence-preserving corruption, or their combination reproduced the observed MIT→Tappy phenotype within the pre-specified tolerances — every arm missed both tolerances, two by overshooting into extreme asymmetry (HC coverage 0.025 and 0.000) absent from the real data (Fig. 6). BBSE, validated as unbiased with nominal interval coverage on constructed label shift, degenerated on exactly the worst direction (Tappy→MIT, estimated PD prevalence 0.000): its label-shift assumption is least plausible exactly there, so the estimate is reported as an assumption-violation diagnostic, not a prevalence estimate. The deployed coverage phenotype was not reproduced by prevalence re-matching or label corruption alone at the pre-specified doses in this direction; feature-space and other conditional distribution shifts remain uneliminated contributors (no causal identification claimed) and are not addressed by prevalence correction or label cleaning alone.</w:t>
      </w:r>
    </w:p>
    <w:bookmarkEnd w:id="21"/>
    <w:bookmarkStart w:id="22" w:name="robustness-and-subgroup-analyses"/>
    <w:p>
      <w:pPr>
        <w:pStyle w:val="Heading3"/>
      </w:pPr>
      <w:r>
        <w:t xml:space="preserve">3.6 Robustness and subgroup analyses</w:t>
      </w:r>
    </w:p>
    <w:p>
      <w:pPr>
        <w:pStyle w:val="FirstParagraph"/>
      </w:pPr>
      <w:r>
        <w:t xml:space="preserve">Under the pre-registered confirmatory pipeline (single seed = 1), no pre-registered sensitivity analysis flipped the primary verdicts: α = 0.20 (0.522–0.705); dual re-inclusion of the three tremor-only participants (largest shift +0.073); quarter-level session re-aggregation (identical results); feature tier as covariate (no monotone gradient). The MIT→Tappy verdict sits close to the decision boundary (CI upper bound 0.8994), and its per-seed split distribution (mean 0.853 ± 0.058) implies that individual splits can fall in the Undetermined band; the 50-seed distribution remained centered below the nominal 0.90 level, and the pre-registered power analysis is provided in the supplement. Sex-stratified coverage (computable only for Tappy-origin targets) showed an 8.7 pp male deficit in MIT→Tappy; MIT and OE publish no demographic fields, which is reported as a limitation rather than imputed.</w:t>
      </w:r>
    </w:p>
    <w:bookmarkEnd w:id="22"/>
    <w:bookmarkEnd w:id="23"/>
    <w:bookmarkStart w:id="24" w:name="discussion"/>
    <w:p>
      <w:pPr>
        <w:pStyle w:val="Heading2"/>
      </w:pPr>
      <w:r>
        <w:t xml:space="preserve">4. Discussion</w:t>
      </w:r>
    </w:p>
    <w:p>
      <w:pPr>
        <w:pStyle w:val="FirstParagraph"/>
      </w:pPr>
      <w:r>
        <w:t xml:space="preserve">Principal finding. Under cross-dataset deployment of PD typing classifiers, the conformal coverage guarantee behaves as a reliability dimension distinct from discrimination: it fails under family-wise control where discrimination looks acceptable, survives where discrimination looks poor (a pattern consistent with a coverage–efficiency trade-off for the comparator’s near-full sets), conceals class-conditional collapse behind acceptable marginal totals, recovers at widely different label costs, and cannot be reproduced by the tested prevalence and label-noise mechanisms alone. AUC-only evaluation characterizes discrimination but does not characterize the reliability of prediction-set coverage under deployment shift.</w:t>
      </w:r>
    </w:p>
    <w:p>
      <w:pPr>
        <w:pStyle w:val="BodyText"/>
      </w:pPr>
      <w:r>
        <w:t xml:space="preserve">For practice — coverage auditing as deployment governance. Operationally, these results indicate that a deployment could pass an AUC acceptance test yet — if singleton sets were operationalized as auto-pass decisions — route most positive patients through that pathway, which is why coverage auditing belongs in the acceptance gate, not the post-hoc evaluation. Concretely: (i) treat the pre-registered verdict vocabulary as a candidate deployment-audit gate, to be validated prospectively before operational use (Undetermined/Incompatible = do not sign off without remediation evidence), and schedule periodic re-audits with re-triggering on upstream device or population changes; (ii) budget a small, class-stratified standing calibration set per deployment site — in these cohorts, observed recovery budgets were 9–18 labels where the score survives, while a do-not-deploy (or abstention-only workflow) policy is indicated where it does not; (iii) make class-conditional audit results a gating condition before permitting any auto-pass workflow — if singleton sets were operationalized as auto-pass decisions, 78.6% of PD participants in Tappy→MIT would have been incorrectly routed through that pathway; at mean set sizes of 1.1–1.5, the manual-review workload that would catch this is 10–50% of subjects, a modest cost against the failure mode; (iv) position typing-based PD triage as one component of a health-information system referral pathway, not a standalone diagnostic.</w:t>
      </w:r>
    </w:p>
    <w:p>
      <w:pPr>
        <w:pStyle w:val="BodyText"/>
      </w:pPr>
      <w:r>
        <w:t xml:space="preserve">Relation to prior work. Coverage audits of medical CP exist for cross-institution model transport [13]; PD digital phenotyping has used CP for medication-need intervals [11] and reliable longitudinal assessment on real-world digital neurologic signatures [12] — in-domain. Cross-dataset keystroke benchmarks have left uncertainty unexamined. Our results do not contradict CP theory; they measure what the theory predicts at the boundary of its assumptions, on data a deployment would actually meet.</w:t>
      </w:r>
    </w:p>
    <w:bookmarkEnd w:id="24"/>
    <w:bookmarkStart w:id="25" w:name="limitations"/>
    <w:p>
      <w:pPr>
        <w:pStyle w:val="Heading2"/>
      </w:pPr>
      <w:r>
        <w:t xml:space="preserve">5. Limitations</w:t>
      </w:r>
    </w:p>
    <w:p>
      <w:pPr>
        <w:pStyle w:val="Compact"/>
        <w:numPr>
          <w:ilvl w:val="0"/>
          <w:numId w:val="1001"/>
        </w:numPr>
      </w:pPr>
      <w:r>
        <w:t xml:space="preserve">Self-report labels qualify the estimand on self-report targets; random flips are not structured mislabeling, and reproduction claims are limited to</w:t>
      </w:r>
      <w:r>
        <w:t xml:space="preserve"> </w:t>
      </w:r>
      <w:r>
        <w:t xml:space="preserve">“sufficient to reproduce”</w:t>
      </w:r>
      <w:r>
        <w:t xml:space="preserve"> </w:t>
      </w:r>
      <w:r>
        <w:t xml:space="preserve">at the pre-specified doses in one direction. (2) The effective reference model is logistic regression following a pre-registered gate failure of the original LightGBM choice (three runs documented); the amendment was frozen before cross-dataset coverage was computed, and the comparator is reported throughout. (3) Score-dependence is established descriptively across two score functions and 12 non-independent directions; two scores demonstrate that coverage failure is not intrinsic to the task, not a general law of score space. (4) MIT and OE publish no sex/age fields, limiting subgroup audits; MIT’s control group is female-biased (~17 pp) per the literature. (5) Class-conditional coverage is measured, not guaranteed, even in-domain. (6) OE retains 0.27% duplicate rows by pre-registered decision; the merged source pool statement concerns label quality, not distribution exchangeability, and no leave-one-source-out sensitivity was run. (7) Weighted CP has no third-party library cross-check; p99 truncation voids its formal guarantee; correctness of the untruncated form rests on an independent oracle, and its practical failure (abstention) is reported as an outcome. (8) The primary confirmatory analysis used a single pre-registered calibration split; repeated-seed analyses were sensitivity analyses and do not replace it. The decision boundary is sensitive to the calibration-set realization, particularly for MIT→Tappy (CI upper bound 0.8994), and the finite target cohorts limit per-class precision (PD-conditional n = 42 in Tappy→MIT).</w:t>
      </w:r>
    </w:p>
    <w:bookmarkEnd w:id="25"/>
    <w:bookmarkStart w:id="26" w:name="conclusions"/>
    <w:p>
      <w:pPr>
        <w:pStyle w:val="Heading2"/>
      </w:pPr>
      <w:r>
        <w:t xml:space="preserve">6. Conclusions</w:t>
      </w:r>
    </w:p>
    <w:p>
      <w:pPr>
        <w:pStyle w:val="FirstParagraph"/>
      </w:pPr>
      <w:r>
        <w:t xml:space="preserve">Discrimination metrics and coverage guarantees behave as distinct reliability dimensions under deployment shift. Health systems deploying keystroke-based screening should treat coverage auditing — marginal and class-conditional, per target cohort — as a standing requirement alongside discrimination evaluation, budget for small per-site calibration sets, and evaluate candidate score functions’ coverage behavior as part of model selection.</w:t>
      </w:r>
    </w:p>
    <w:bookmarkEnd w:id="26"/>
    <w:bookmarkStart w:id="27" w:name="statements-and-declarations"/>
    <w:p>
      <w:pPr>
        <w:pStyle w:val="Heading2"/>
      </w:pPr>
      <w:r>
        <w:t xml:space="preserve">Statements and Declarations</w:t>
      </w:r>
    </w:p>
    <w:p>
      <w:pPr>
        <w:pStyle w:val="FirstParagraph"/>
      </w:pPr>
      <w:r>
        <w:rPr>
          <w:b/>
          <w:bCs/>
        </w:rPr>
        <w:t xml:space="preserve">Funding.</w:t>
      </w:r>
      <w:r>
        <w:t xml:space="preserve"> </w:t>
      </w:r>
      <w:r>
        <w:t xml:space="preserve">[No funding was received for this study / to be completed by the author.]</w:t>
      </w:r>
    </w:p>
    <w:p>
      <w:pPr>
        <w:pStyle w:val="BodyText"/>
      </w:pPr>
      <w:r>
        <w:rPr>
          <w:b/>
          <w:bCs/>
        </w:rPr>
        <w:t xml:space="preserve">Competing interests.</w:t>
      </w:r>
      <w:r>
        <w:t xml:space="preserve"> </w:t>
      </w:r>
      <w:r>
        <w:t xml:space="preserve">The author declares no competing interests. [To be confirmed.]</w:t>
      </w:r>
    </w:p>
    <w:p>
      <w:pPr>
        <w:pStyle w:val="BodyText"/>
      </w:pPr>
      <w:r>
        <w:rPr>
          <w:b/>
          <w:bCs/>
        </w:rPr>
        <w:t xml:space="preserve">Ethics approval.</w:t>
      </w:r>
      <w:r>
        <w:t xml:space="preserve"> </w:t>
      </w:r>
      <w:r>
        <w:t xml:space="preserve">This study used exclusively de-identified, publicly available datasets (MIT-CSXPD, Tappy Keplar, TyPD/i-PROGNOSIS, Online English) released for research use; no new human data were collected and no intervention occurred; institutional review was therefore not required. [Institutional exemption statement to be confirmed by the author.]</w:t>
      </w:r>
    </w:p>
    <w:p>
      <w:pPr>
        <w:pStyle w:val="BodyText"/>
      </w:pPr>
      <w:r>
        <w:rPr>
          <w:b/>
          <w:bCs/>
        </w:rPr>
        <w:t xml:space="preserve">Consent to participate.</w:t>
      </w:r>
      <w:r>
        <w:t xml:space="preserve"> </w:t>
      </w:r>
      <w:r>
        <w:t xml:space="preserve">Not applicable: no individual participant data were newly collected; all datasets are public research releases with their own consent frameworks.</w:t>
      </w:r>
    </w:p>
    <w:p>
      <w:pPr>
        <w:pStyle w:val="BodyText"/>
      </w:pPr>
      <w:r>
        <w:rPr>
          <w:b/>
          <w:bCs/>
        </w:rPr>
        <w:t xml:space="preserve">Consent for publication.</w:t>
      </w:r>
      <w:r>
        <w:t xml:space="preserve"> </w:t>
      </w:r>
      <w:r>
        <w:t xml:space="preserve">Not applicable: the manuscript contains no identifiable individual data.</w:t>
      </w:r>
    </w:p>
    <w:p>
      <w:pPr>
        <w:pStyle w:val="BodyText"/>
      </w:pPr>
      <w:r>
        <w:rPr>
          <w:b/>
          <w:bCs/>
        </w:rPr>
        <w:t xml:space="preserve">Data availability.</w:t>
      </w:r>
      <w:r>
        <w:t xml:space="preserve"> </w:t>
      </w:r>
      <w:r>
        <w:t xml:space="preserve">All four datasets are publicly available from their original distributors: MIT-CSXPD via PhysioNet (nqmitcsxpd 1.0.0, https://physionet.org/content/nqmitcsxpd/1.0.0/) [1]; Tappy Keplar via PhysioNet (tappy 1.0.0, https://physionet.org/content/tappy/1.0.0/); TyPD/i-PROGNOSIS DS2.5 via Zenodo (record 2571623, https://zenodo.org/records/2571623); Online English via OSF (project ew34b, https://osf.io/ew34b/). No dataset is redistributed. The frozen cohort construction with step-by-step inclusion/exclusion counts is released with the code in the public archive below.</w:t>
      </w:r>
    </w:p>
    <w:p>
      <w:pPr>
        <w:pStyle w:val="BodyText"/>
      </w:pPr>
      <w:r>
        <w:rPr>
          <w:b/>
          <w:bCs/>
        </w:rPr>
        <w:t xml:space="preserve">Code availability.</w:t>
      </w:r>
      <w:r>
        <w:t xml:space="preserve"> </w:t>
      </w:r>
      <w:r>
        <w:t xml:space="preserve">The full pipeline, unit-test suite, figure/table generation scripts, and frozen result tables are publicly archived at https://github.com/Tiannn0512/typing-pd-conformal-audit (public timestamp archive; frozen result tag</w:t>
      </w:r>
      <w:r>
        <w:t xml:space="preserve"> </w:t>
      </w:r>
      <w:r>
        <w:rPr>
          <w:rStyle w:val="VerbatimChar"/>
        </w:rPr>
        <w:t xml:space="preserve">results-frozen-v1</w:t>
      </w:r>
      <w:r>
        <w:t xml:space="preserve">). A DOI will be minted at acceptance. [Repository DOI to be completed.]</w:t>
      </w:r>
    </w:p>
    <w:p>
      <w:pPr>
        <w:pStyle w:val="BodyText"/>
      </w:pPr>
      <w:r>
        <w:rPr>
          <w:b/>
          <w:bCs/>
        </w:rPr>
        <w:t xml:space="preserve">Author contributions.</w:t>
      </w:r>
      <w:r>
        <w:t xml:space="preserve"> </w:t>
      </w:r>
      <w:r>
        <w:t xml:space="preserve">[CRediT roles to be completed: conceptualization, methodology, software, investigation, writing — to be assigned by the author.]</w:t>
      </w:r>
    </w:p>
    <w:p>
      <w:pPr>
        <w:pStyle w:val="BodyText"/>
      </w:pPr>
      <w:r>
        <w:rPr>
          <w:b/>
          <w:bCs/>
        </w:rPr>
        <w:t xml:space="preserve">Use of large language models.</w:t>
      </w:r>
      <w:r>
        <w:t xml:space="preserve"> </w:t>
      </w:r>
      <w:r>
        <w:t xml:space="preserve">Manuscript text was drafted from the frozen results with LLM-based coding-agent assistance (ZCode CLI, GLM models, API access; the same tool reported in Methods) under human direction; the author verified all content against the frozen result tables and is accountable for all content, including citations. [Tool version, usage dates, and representative-input records to be completed at submission; records are preserved in the version-controlled repository.]</w:t>
      </w:r>
    </w:p>
    <w:bookmarkEnd w:id="27"/>
    <w:bookmarkStart w:id="28" w:name="references"/>
    <w:p>
      <w:pPr>
        <w:pStyle w:val="Heading2"/>
      </w:pPr>
      <w:r>
        <w:t xml:space="preserve">References</w:t>
      </w:r>
    </w:p>
    <w:p>
      <w:pPr>
        <w:pStyle w:val="Compact"/>
        <w:numPr>
          <w:ilvl w:val="0"/>
          <w:numId w:val="1002"/>
        </w:numPr>
      </w:pPr>
      <w:r>
        <w:t xml:space="preserve">Giancardo L, Cisco G, Sánchez-Ferro A, et al (2016) Computer keyboard interaction as an indicator of early Parkinson’s disease. Sci Rep 6:34468. https://doi.org/10.1038/srep34468</w:t>
      </w:r>
    </w:p>
    <w:p>
      <w:pPr>
        <w:pStyle w:val="Compact"/>
        <w:numPr>
          <w:ilvl w:val="0"/>
          <w:numId w:val="1002"/>
        </w:numPr>
      </w:pPr>
      <w:r>
        <w:t xml:space="preserve">Arroyo-Gallego T, Ledesma-Carbayo MJ, Sánchez-Ferro A, et al (2017) Detection of motor impairment in Parkinson’s disease via mobile touchscreen typing. IEEE Trans Biomed Eng 64(9):1994–2002. https://doi.org/10.1109/TBME.2017.2664802</w:t>
      </w:r>
    </w:p>
    <w:p>
      <w:pPr>
        <w:pStyle w:val="Compact"/>
        <w:numPr>
          <w:ilvl w:val="0"/>
          <w:numId w:val="1002"/>
        </w:numPr>
      </w:pPr>
      <w:r>
        <w:t xml:space="preserve">Tripathi S, Arroyo-Gallego T, Giancardo L (2023) Keystroke-dynamics for Parkinson’s disease signs detection in an at-home uncontrolled population. IEEE Trans Biomed Eng 70:182–192. https://doi.org/10.1109/TBME.2022.3187309</w:t>
      </w:r>
    </w:p>
    <w:p>
      <w:pPr>
        <w:pStyle w:val="Compact"/>
        <w:numPr>
          <w:ilvl w:val="0"/>
          <w:numId w:val="1002"/>
        </w:numPr>
      </w:pPr>
      <w:r>
        <w:t xml:space="preserve">Francesconi A, Cappetta D, Rebecchi F, Soda P, Guarrasi V (2026) Cross-dataset multivariate time-series model for Parkinson’s diagnosis via keyboard dynamics. Commun Comput Inf Sci:61–74. https://doi.org/10.1007/978-3-032-17216-7_6</w:t>
      </w:r>
    </w:p>
    <w:p>
      <w:pPr>
        <w:pStyle w:val="Compact"/>
        <w:numPr>
          <w:ilvl w:val="0"/>
          <w:numId w:val="1002"/>
        </w:numPr>
      </w:pPr>
      <w:r>
        <w:t xml:space="preserve">Vovk V, Gammerman A, Shafer G (2005) Algorithmic learning in a random world. Springer, New York</w:t>
      </w:r>
    </w:p>
    <w:p>
      <w:pPr>
        <w:pStyle w:val="Compact"/>
        <w:numPr>
          <w:ilvl w:val="0"/>
          <w:numId w:val="1002"/>
        </w:numPr>
      </w:pPr>
      <w:r>
        <w:t xml:space="preserve">Angelopoulos AN, Bates S (2023) Conformal prediction: a gentle introduction. Found Trends Mach Learn 16:494–591. https://doi.org/10.1561/2200000101</w:t>
      </w:r>
    </w:p>
    <w:p>
      <w:pPr>
        <w:pStyle w:val="Compact"/>
        <w:numPr>
          <w:ilvl w:val="0"/>
          <w:numId w:val="1002"/>
        </w:numPr>
      </w:pPr>
      <w:r>
        <w:t xml:space="preserve">Tibshirani RJ, Foygel Barber R, Candès E, Ramdas A (2019) Conformal prediction under covariate shift. In: NeurIPS 32</w:t>
      </w:r>
    </w:p>
    <w:p>
      <w:pPr>
        <w:pStyle w:val="Compact"/>
        <w:numPr>
          <w:ilvl w:val="0"/>
          <w:numId w:val="1002"/>
        </w:numPr>
      </w:pPr>
      <w:r>
        <w:t xml:space="preserve">Barber RF, Candès E, Ramdas A, Tibshirani RJ (2023) Conformal prediction beyond exchangeability. Ann Stat 51:816–845. https://doi.org/10.1214/23-AOS2276</w:t>
      </w:r>
    </w:p>
    <w:p>
      <w:pPr>
        <w:pStyle w:val="Compact"/>
        <w:numPr>
          <w:ilvl w:val="0"/>
          <w:numId w:val="1002"/>
        </w:numPr>
      </w:pPr>
      <w:r>
        <w:t xml:space="preserve">Einbinder B-S, Feldman S, Bates S, Angelopoulos AN, Gendler A, Romano Y (2024) Label noise robustness of conformal prediction. J Mach Learn Res 25(328):1–66</w:t>
      </w:r>
    </w:p>
    <w:p>
      <w:pPr>
        <w:pStyle w:val="Compact"/>
        <w:numPr>
          <w:ilvl w:val="0"/>
          <w:numId w:val="1002"/>
        </w:numPr>
      </w:pPr>
      <w:r>
        <w:t xml:space="preserve">Han W, et al (2026) The label complexity of class-conditional coverage under distribution shift. arXiv:2607.18088. https://arxiv.org/abs/2607.18088</w:t>
      </w:r>
    </w:p>
    <w:p>
      <w:pPr>
        <w:pStyle w:val="Compact"/>
        <w:numPr>
          <w:ilvl w:val="0"/>
          <w:numId w:val="1002"/>
        </w:numPr>
      </w:pPr>
      <w:r>
        <w:t xml:space="preserve">Diaz-Rincon A, Liang M, Ramirez-Zamora A, Shickel B (2025) Uncertainty-aware prediction of Parkinson’s disease medication needs: a two-stage conformal prediction approach. In: Proceedings of the 10th Machine Learning for Healthcare Conference, PMLR 298. https://proceedings.mlr.press/v298/diaz-rincon25a.html</w:t>
      </w:r>
    </w:p>
    <w:p>
      <w:pPr>
        <w:pStyle w:val="Compact"/>
        <w:numPr>
          <w:ilvl w:val="0"/>
          <w:numId w:val="1002"/>
        </w:numPr>
      </w:pPr>
      <w:r>
        <w:t xml:space="preserve">Wei W, Gao R, Yao S, et al (2026) SGC-RML: a reliable and interpretable longitudinal assessment for PD in real-world DNS. arXiv:2605.08302. https://arxiv.org/abs/2605.08302</w:t>
      </w:r>
    </w:p>
    <w:p>
      <w:pPr>
        <w:pStyle w:val="Compact"/>
        <w:numPr>
          <w:ilvl w:val="0"/>
          <w:numId w:val="1002"/>
        </w:numPr>
      </w:pPr>
      <w:r>
        <w:t xml:space="preserve">Tuwani R, Beam AL (2023) Safe and reliable transport of prediction models to new healthcare settings without the need to collect new labeled data. medRxiv. https://doi.org/10.1101/2023.12.13.23299899 [preprint; author to check for a published version]</w:t>
      </w:r>
    </w:p>
    <w:p>
      <w:pPr>
        <w:pStyle w:val="Compact"/>
        <w:numPr>
          <w:ilvl w:val="0"/>
          <w:numId w:val="1002"/>
        </w:numPr>
      </w:pPr>
      <w:r>
        <w:t xml:space="preserve">Collins GS, Moons KGM, Dhiman P, et al (2024) TRIPOD+AI statement: updated guidance for reporting clinical prediction models that use regression or machine learning methods. BMJ 385:e078378. https://doi.org/10.1136/bmj-2023-078378</w:t>
      </w:r>
    </w:p>
    <w:p>
      <w:pPr>
        <w:pStyle w:val="Compact"/>
        <w:numPr>
          <w:ilvl w:val="0"/>
          <w:numId w:val="1002"/>
        </w:numPr>
      </w:pPr>
      <w:r>
        <w:t xml:space="preserve">Taquet V, Blot V, Morzadec T, Lacombe L, Brunel N (2022) MAPIE: an open-source library for distribution-free uncertainty quantification. arXiv:2207.12274. https://arxiv.org/abs/2207.12274</w:t>
      </w:r>
    </w:p>
    <w:p>
      <w:pPr>
        <w:pStyle w:val="Compact"/>
        <w:numPr>
          <w:ilvl w:val="0"/>
          <w:numId w:val="1002"/>
        </w:numPr>
      </w:pPr>
      <w:r>
        <w:t xml:space="preserve">Lipton ZC, Wang Y-X, Smola A (2018) Detecting and correcting for label shift with black box predictors. In: ICML 35</w:t>
      </w:r>
    </w:p>
    <w:p>
      <w:r>
        <w:br w:type="page"/>
      </w:r>
    </w:p>
    <w:bookmarkEnd w:id="28"/>
    <w:bookmarkEnd w:id="29"/>
    <w:bookmarkStart w:id="30" w:name="tables"/>
    <w:p>
      <w:pPr>
        <w:pStyle w:val="Heading1"/>
      </w:pPr>
      <w:r>
        <w:t xml:space="preserve">Tables</w:t>
      </w:r>
    </w:p>
    <w:p>
      <w:pPr>
        <w:pStyle w:val="FirstParagraph"/>
      </w:pPr>
      <w:r>
        <w:rPr>
          <w:b/>
          <w:bCs/>
        </w:rPr>
        <w:t xml:space="preserve">Table 1.</w:t>
      </w:r>
      <w:r>
        <w:t xml:space="preserve"> </w:t>
      </w:r>
      <w:r>
        <w:t xml:space="preserve">Frozen cohort construction (subjects; PD/HC).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Role</w:t>
            </w:r>
          </w:p>
        </w:tc>
        <w:tc>
          <w:tcPr/>
          <w:p>
            <w:pPr>
              <w:pStyle w:val="Compact"/>
            </w:pPr>
            <w:r>
              <w:t xml:space="preserve">Eligible</w:t>
            </w:r>
          </w:p>
        </w:tc>
        <w:tc>
          <w:tcPr/>
          <w:p>
            <w:pPr>
              <w:pStyle w:val="Compact"/>
            </w:pPr>
            <w:r>
              <w:t xml:space="preserve">PD</w:t>
            </w:r>
          </w:p>
        </w:tc>
        <w:tc>
          <w:tcPr/>
          <w:p>
            <w:pPr>
              <w:pStyle w:val="Compact"/>
            </w:pPr>
            <w:r>
              <w:t xml:space="preserve">HC</w:t>
            </w:r>
          </w:p>
        </w:tc>
      </w:tr>
      <w:tr>
        <w:tc>
          <w:tcPr/>
          <w:p>
            <w:pPr>
              <w:pStyle w:val="Compact"/>
            </w:pPr>
            <w:r>
              <w:t xml:space="preserve">MIT-CSXPD</w:t>
            </w:r>
          </w:p>
        </w:tc>
        <w:tc>
          <w:tcPr/>
          <w:p>
            <w:pPr>
              <w:pStyle w:val="Compact"/>
            </w:pPr>
            <w:r>
              <w:t xml:space="preserve">Clinical gold standard; source (direction 2, 3) / target (direction 1)</w:t>
            </w:r>
          </w:p>
        </w:tc>
        <w:tc>
          <w:tcPr/>
          <w:p>
            <w:pPr>
              <w:pStyle w:val="Compact"/>
            </w:pPr>
            <w:r>
              <w:t xml:space="preserve">82</w:t>
            </w:r>
          </w:p>
        </w:tc>
        <w:tc>
          <w:tcPr/>
          <w:p>
            <w:pPr>
              <w:pStyle w:val="Compact"/>
            </w:pPr>
            <w:r>
              <w:t xml:space="preserve">42</w:t>
            </w:r>
          </w:p>
        </w:tc>
        <w:tc>
          <w:tcPr/>
          <w:p>
            <w:pPr>
              <w:pStyle w:val="Compact"/>
            </w:pPr>
            <w:r>
              <w:t xml:space="preserve">40</w:t>
            </w:r>
          </w:p>
        </w:tc>
      </w:tr>
      <w:tr>
        <w:tc>
          <w:tcPr/>
          <w:p>
            <w:pPr>
              <w:pStyle w:val="Compact"/>
            </w:pPr>
            <w:r>
              <w:t xml:space="preserve">Tappy Keplar</w:t>
            </w:r>
          </w:p>
        </w:tc>
        <w:tc>
          <w:tcPr/>
          <w:p>
            <w:pPr>
              <w:pStyle w:val="Compact"/>
            </w:pPr>
            <w:r>
              <w:t xml:space="preserve">Self-report; source (direction 1) / target (direction 2)</w:t>
            </w:r>
          </w:p>
        </w:tc>
        <w:tc>
          <w:tcPr/>
          <w:p>
            <w:pPr>
              <w:pStyle w:val="Compact"/>
            </w:pPr>
            <w:r>
              <w:t xml:space="preserve">173</w:t>
            </w:r>
          </w:p>
        </w:tc>
        <w:tc>
          <w:tcPr/>
          <w:p>
            <w:pPr>
              <w:pStyle w:val="Compact"/>
            </w:pPr>
            <w:r>
              <w:t xml:space="preserve">133</w:t>
            </w:r>
          </w:p>
        </w:tc>
        <w:tc>
          <w:tcPr/>
          <w:p>
            <w:pPr>
              <w:pStyle w:val="Compact"/>
            </w:pPr>
            <w:r>
              <w:t xml:space="preserve">40</w:t>
            </w:r>
          </w:p>
        </w:tc>
      </w:tr>
      <w:tr>
        <w:tc>
          <w:tcPr/>
          <w:p>
            <w:pPr>
              <w:pStyle w:val="Compact"/>
            </w:pPr>
            <w:r>
              <w:t xml:space="preserve">TyPD (i-PROGNOSIS)</w:t>
            </w:r>
          </w:p>
        </w:tc>
        <w:tc>
          <w:tcPr/>
          <w:p>
            <w:pPr>
              <w:pStyle w:val="Compact"/>
            </w:pPr>
            <w:r>
              <w:t xml:space="preserve">Clinical; merged source pool only</w:t>
            </w:r>
          </w:p>
        </w:tc>
        <w:tc>
          <w:tcPr/>
          <w:p>
            <w:pPr>
              <w:pStyle w:val="Compact"/>
            </w:pPr>
            <w:r>
              <w:t xml:space="preserve">27</w:t>
            </w:r>
          </w:p>
        </w:tc>
        <w:tc>
          <w:tcPr/>
          <w:p>
            <w:pPr>
              <w:pStyle w:val="Compact"/>
            </w:pPr>
            <w:r>
              <w:t xml:space="preserve">12</w:t>
            </w:r>
          </w:p>
        </w:tc>
        <w:tc>
          <w:tcPr/>
          <w:p>
            <w:pPr>
              <w:pStyle w:val="Compact"/>
            </w:pPr>
            <w:r>
              <w:t xml:space="preserve">15</w:t>
            </w:r>
          </w:p>
        </w:tc>
      </w:tr>
      <w:tr>
        <w:tc>
          <w:tcPr/>
          <w:p>
            <w:pPr>
              <w:pStyle w:val="Compact"/>
            </w:pPr>
            <w:r>
              <w:t xml:space="preserve">Online English</w:t>
            </w:r>
          </w:p>
        </w:tc>
        <w:tc>
          <w:tcPr/>
          <w:p>
            <w:pPr>
              <w:pStyle w:val="Compact"/>
            </w:pPr>
            <w:r>
              <w:t xml:space="preserve">Self-report; merged target only</w:t>
            </w:r>
          </w:p>
        </w:tc>
        <w:tc>
          <w:tcPr/>
          <w:p>
            <w:pPr>
              <w:pStyle w:val="Compact"/>
            </w:pPr>
            <w:r>
              <w:t xml:space="preserve">193</w:t>
            </w:r>
          </w:p>
        </w:tc>
        <w:tc>
          <w:tcPr/>
          <w:p>
            <w:pPr>
              <w:pStyle w:val="Compact"/>
            </w:pPr>
            <w:r>
              <w:t xml:space="preserve">83</w:t>
            </w:r>
          </w:p>
        </w:tc>
        <w:tc>
          <w:tcPr/>
          <w:p>
            <w:pPr>
              <w:pStyle w:val="Compact"/>
            </w:pPr>
            <w:r>
              <w:t xml:space="preserve">110</w:t>
            </w:r>
          </w:p>
        </w:tc>
      </w:tr>
      <w:tr>
        <w:tc>
          <w:tcPr/>
          <w:p>
            <w:pPr>
              <w:pStyle w:val="Compact"/>
            </w:pPr>
            <w:r>
              <w:rPr>
                <w:b/>
                <w:bCs/>
              </w:rPr>
              <w:t xml:space="preserve">Total</w:t>
            </w:r>
          </w:p>
        </w:tc>
        <w:tc>
          <w:tcPr/>
          <w:p>
            <w:pPr>
              <w:pStyle w:val="Compact"/>
            </w:pPr>
          </w:p>
        </w:tc>
        <w:tc>
          <w:tcPr/>
          <w:p>
            <w:pPr>
              <w:pStyle w:val="Compact"/>
            </w:pPr>
            <w:r>
              <w:rPr>
                <w:b/>
                <w:bCs/>
              </w:rPr>
              <w:t xml:space="preserve">475</w:t>
            </w:r>
          </w:p>
        </w:tc>
        <w:tc>
          <w:tcPr/>
          <w:p>
            <w:pPr>
              <w:pStyle w:val="Compact"/>
            </w:pPr>
            <w:r>
              <w:rPr>
                <w:b/>
                <w:bCs/>
              </w:rPr>
              <w:t xml:space="preserve">270</w:t>
            </w:r>
          </w:p>
        </w:tc>
        <w:tc>
          <w:tcPr/>
          <w:p>
            <w:pPr>
              <w:pStyle w:val="Compact"/>
            </w:pPr>
            <w:r>
              <w:rPr>
                <w:b/>
                <w:bCs/>
              </w:rPr>
              <w:t xml:space="preserve">205</w:t>
            </w:r>
          </w:p>
        </w:tc>
      </w:tr>
    </w:tbl>
    <w:p>
      <w:pPr>
        <w:pStyle w:val="BodyText"/>
      </w:pPr>
      <w:r>
        <w:rPr>
          <w:b/>
          <w:bCs/>
        </w:rPr>
        <w:t xml:space="preserve">Table 2.</w:t>
      </w:r>
      <w:r>
        <w:t xml:space="preserve"> </w:t>
      </w:r>
      <w:r>
        <w:t xml:space="preserve">Primary family (α = 0.10, split CP, confirmatory seed = 1). Verdicts under family-wise Holm correction (H0: true coverage ≥ 0.90). LR = logistic-regression primary reference; LGBM = LightGBM comparator (not in the test family).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Direction</w:t>
            </w:r>
          </w:p>
        </w:tc>
        <w:tc>
          <w:tcPr/>
          <w:p>
            <w:pPr>
              <w:pStyle w:val="Compact"/>
            </w:pPr>
            <w:r>
              <w:t xml:space="preserve">Model</w:t>
            </w:r>
          </w:p>
        </w:tc>
        <w:tc>
          <w:tcPr/>
          <w:p>
            <w:pPr>
              <w:pStyle w:val="Compact"/>
            </w:pPr>
            <w:r>
              <w:t xml:space="preserve">K/n</w:t>
            </w:r>
          </w:p>
        </w:tc>
        <w:tc>
          <w:tcPr/>
          <w:p>
            <w:pPr>
              <w:pStyle w:val="Compact"/>
            </w:pPr>
            <w:r>
              <w:t xml:space="preserve">Coverage [95% CI]</w:t>
            </w:r>
          </w:p>
        </w:tc>
        <w:tc>
          <w:tcPr/>
          <w:p>
            <w:pPr>
              <w:pStyle w:val="Compact"/>
            </w:pPr>
            <w:r>
              <w:t xml:space="preserve">Holm q</w:t>
            </w:r>
          </w:p>
        </w:tc>
        <w:tc>
          <w:tcPr/>
          <w:p>
            <w:pPr>
              <w:pStyle w:val="Compact"/>
            </w:pPr>
            <w:r>
              <w:t xml:space="preserve">Verdict</w:t>
            </w:r>
          </w:p>
        </w:tc>
      </w:tr>
      <w:tr>
        <w:tc>
          <w:tcPr/>
          <w:p>
            <w:pPr>
              <w:pStyle w:val="Compact"/>
            </w:pPr>
            <w:r>
              <w:t xml:space="preserve">Tappy→MIT</w:t>
            </w:r>
          </w:p>
        </w:tc>
        <w:tc>
          <w:tcPr/>
          <w:p>
            <w:pPr>
              <w:pStyle w:val="Compact"/>
            </w:pPr>
            <w:r>
              <w:t xml:space="preserve">LR</w:t>
            </w:r>
          </w:p>
        </w:tc>
        <w:tc>
          <w:tcPr/>
          <w:p>
            <w:pPr>
              <w:pStyle w:val="Compact"/>
            </w:pPr>
            <w:r>
              <w:t xml:space="preserve">49/82</w:t>
            </w:r>
          </w:p>
        </w:tc>
        <w:tc>
          <w:tcPr/>
          <w:p>
            <w:pPr>
              <w:pStyle w:val="Compact"/>
            </w:pPr>
            <w:r>
              <w:t xml:space="preserve">0.598 [0.483, 0.704]</w:t>
            </w:r>
          </w:p>
        </w:tc>
        <w:tc>
          <w:tcPr/>
          <w:p>
            <w:pPr>
              <w:pStyle w:val="Compact"/>
            </w:pPr>
            <w:r>
              <w:t xml:space="preserve">1.2×10⁻¹²</w:t>
            </w:r>
          </w:p>
        </w:tc>
        <w:tc>
          <w:tcPr/>
          <w:p>
            <w:pPr>
              <w:pStyle w:val="Compact"/>
            </w:pPr>
            <w:r>
              <w:t xml:space="preserve">Incompatible</w:t>
            </w:r>
          </w:p>
        </w:tc>
      </w:tr>
      <w:tr>
        <w:tc>
          <w:tcPr/>
          <w:p>
            <w:pPr>
              <w:pStyle w:val="Compact"/>
            </w:pPr>
            <w:r>
              <w:t xml:space="preserve">Tappy→MIT</w:t>
            </w:r>
          </w:p>
        </w:tc>
        <w:tc>
          <w:tcPr/>
          <w:p>
            <w:pPr>
              <w:pStyle w:val="Compact"/>
            </w:pPr>
            <w:r>
              <w:t xml:space="preserve">LGBM</w:t>
            </w:r>
          </w:p>
        </w:tc>
        <w:tc>
          <w:tcPr/>
          <w:p>
            <w:pPr>
              <w:pStyle w:val="Compact"/>
            </w:pPr>
            <w:r>
              <w:t xml:space="preserve">79/82</w:t>
            </w:r>
          </w:p>
        </w:tc>
        <w:tc>
          <w:tcPr/>
          <w:p>
            <w:pPr>
              <w:pStyle w:val="Compact"/>
            </w:pPr>
            <w:r>
              <w:t xml:space="preserve">0.963 [0.897, 0.992]</w:t>
            </w:r>
          </w:p>
        </w:tc>
        <w:tc>
          <w:tcPr/>
          <w:p>
            <w:pPr>
              <w:pStyle w:val="Compact"/>
            </w:pPr>
            <w:r>
              <w:t xml:space="preserve">— (comparator)</w:t>
            </w:r>
          </w:p>
        </w:tc>
        <w:tc>
          <w:tcPr/>
          <w:p>
            <w:pPr>
              <w:pStyle w:val="Compact"/>
            </w:pPr>
            <w:r>
              <w:t xml:space="preserve">—</w:t>
            </w:r>
          </w:p>
        </w:tc>
      </w:tr>
      <w:tr>
        <w:tc>
          <w:tcPr/>
          <w:p>
            <w:pPr>
              <w:pStyle w:val="Compact"/>
            </w:pPr>
            <w:r>
              <w:t xml:space="preserve">MIT→Tappy</w:t>
            </w:r>
          </w:p>
        </w:tc>
        <w:tc>
          <w:tcPr/>
          <w:p>
            <w:pPr>
              <w:pStyle w:val="Compact"/>
            </w:pPr>
            <w:r>
              <w:t xml:space="preserve">LR</w:t>
            </w:r>
          </w:p>
        </w:tc>
        <w:tc>
          <w:tcPr/>
          <w:p>
            <w:pPr>
              <w:pStyle w:val="Compact"/>
            </w:pPr>
            <w:r>
              <w:t xml:space="preserve">147/173</w:t>
            </w:r>
          </w:p>
        </w:tc>
        <w:tc>
          <w:tcPr/>
          <w:p>
            <w:pPr>
              <w:pStyle w:val="Compact"/>
            </w:pPr>
            <w:r>
              <w:t xml:space="preserve">0.850 [0.788, 0.899]</w:t>
            </w:r>
          </w:p>
        </w:tc>
        <w:tc>
          <w:tcPr/>
          <w:p>
            <w:pPr>
              <w:pStyle w:val="Compact"/>
            </w:pPr>
            <w:r>
              <w:t xml:space="preserve">0.023</w:t>
            </w:r>
          </w:p>
        </w:tc>
        <w:tc>
          <w:tcPr/>
          <w:p>
            <w:pPr>
              <w:pStyle w:val="Compact"/>
            </w:pPr>
            <w:r>
              <w:t xml:space="preserve">Incompatible</w:t>
            </w:r>
          </w:p>
        </w:tc>
      </w:tr>
      <w:tr>
        <w:tc>
          <w:tcPr/>
          <w:p>
            <w:pPr>
              <w:pStyle w:val="Compact"/>
            </w:pPr>
            <w:r>
              <w:t xml:space="preserve">MIT→Tappy</w:t>
            </w:r>
          </w:p>
        </w:tc>
        <w:tc>
          <w:tcPr/>
          <w:p>
            <w:pPr>
              <w:pStyle w:val="Compact"/>
            </w:pPr>
            <w:r>
              <w:t xml:space="preserve">LGBM</w:t>
            </w:r>
          </w:p>
        </w:tc>
        <w:tc>
          <w:tcPr/>
          <w:p>
            <w:pPr>
              <w:pStyle w:val="Compact"/>
            </w:pPr>
            <w:r>
              <w:t xml:space="preserve">171/173</w:t>
            </w:r>
          </w:p>
        </w:tc>
        <w:tc>
          <w:tcPr/>
          <w:p>
            <w:pPr>
              <w:pStyle w:val="Compact"/>
            </w:pPr>
            <w:r>
              <w:t xml:space="preserve">0.988 [0.959, 0.999]</w:t>
            </w:r>
          </w:p>
        </w:tc>
        <w:tc>
          <w:tcPr/>
          <w:p>
            <w:pPr>
              <w:pStyle w:val="Compact"/>
            </w:pPr>
            <w:r>
              <w:t xml:space="preserve">— (comparator)</w:t>
            </w:r>
          </w:p>
        </w:tc>
        <w:tc>
          <w:tcPr/>
          <w:p>
            <w:pPr>
              <w:pStyle w:val="Compact"/>
            </w:pPr>
            <w:r>
              <w:t xml:space="preserve">—</w:t>
            </w:r>
          </w:p>
        </w:tc>
      </w:tr>
      <w:tr>
        <w:tc>
          <w:tcPr/>
          <w:p>
            <w:pPr>
              <w:pStyle w:val="Compact"/>
            </w:pPr>
            <w:r>
              <w:t xml:space="preserve">Clinical→Self-report</w:t>
            </w:r>
          </w:p>
        </w:tc>
        <w:tc>
          <w:tcPr/>
          <w:p>
            <w:pPr>
              <w:pStyle w:val="Compact"/>
            </w:pPr>
            <w:r>
              <w:t xml:space="preserve">LR</w:t>
            </w:r>
          </w:p>
        </w:tc>
        <w:tc>
          <w:tcPr/>
          <w:p>
            <w:pPr>
              <w:pStyle w:val="Compact"/>
            </w:pPr>
            <w:r>
              <w:t xml:space="preserve">268/366</w:t>
            </w:r>
          </w:p>
        </w:tc>
        <w:tc>
          <w:tcPr/>
          <w:p>
            <w:pPr>
              <w:pStyle w:val="Compact"/>
            </w:pPr>
            <w:r>
              <w:t xml:space="preserve">0.732 [0.684, 0.777]</w:t>
            </w:r>
          </w:p>
        </w:tc>
        <w:tc>
          <w:tcPr/>
          <w:p>
            <w:pPr>
              <w:pStyle w:val="Compact"/>
            </w:pPr>
            <w:r>
              <w:t xml:space="preserve">2.5×10⁻¹⁹</w:t>
            </w:r>
          </w:p>
        </w:tc>
        <w:tc>
          <w:tcPr/>
          <w:p>
            <w:pPr>
              <w:pStyle w:val="Compact"/>
            </w:pPr>
            <w:r>
              <w:t xml:space="preserve">Incompatible</w:t>
            </w:r>
          </w:p>
        </w:tc>
      </w:tr>
      <w:tr>
        <w:tc>
          <w:tcPr/>
          <w:p>
            <w:pPr>
              <w:pStyle w:val="Compact"/>
            </w:pPr>
            <w:r>
              <w:t xml:space="preserve">Clinical→Self-report</w:t>
            </w:r>
          </w:p>
        </w:tc>
        <w:tc>
          <w:tcPr/>
          <w:p>
            <w:pPr>
              <w:pStyle w:val="Compact"/>
            </w:pPr>
            <w:r>
              <w:t xml:space="preserve">LGBM</w:t>
            </w:r>
          </w:p>
        </w:tc>
        <w:tc>
          <w:tcPr/>
          <w:p>
            <w:pPr>
              <w:pStyle w:val="Compact"/>
            </w:pPr>
            <w:r>
              <w:t xml:space="preserve">354/366</w:t>
            </w:r>
          </w:p>
        </w:tc>
        <w:tc>
          <w:tcPr/>
          <w:p>
            <w:pPr>
              <w:pStyle w:val="Compact"/>
            </w:pPr>
            <w:r>
              <w:t xml:space="preserve">0.967 [0.943, 0.983]</w:t>
            </w:r>
          </w:p>
        </w:tc>
        <w:tc>
          <w:tcPr/>
          <w:p>
            <w:pPr>
              <w:pStyle w:val="Compact"/>
            </w:pPr>
            <w:r>
              <w:t xml:space="preserve">— (comparator)</w:t>
            </w:r>
          </w:p>
        </w:tc>
        <w:tc>
          <w:tcPr/>
          <w:p>
            <w:pPr>
              <w:pStyle w:val="Compact"/>
            </w:pPr>
            <w:r>
              <w:t xml:space="preserve">—</w:t>
            </w:r>
          </w:p>
        </w:tc>
      </w:tr>
    </w:tbl>
    <w:p>
      <w:r>
        <w:br w:type="page"/>
      </w:r>
    </w:p>
    <w:bookmarkEnd w:id="30"/>
    <w:bookmarkStart w:id="49" w:name="figures"/>
    <w:p>
      <w:pPr>
        <w:pStyle w:val="Heading1"/>
      </w:pPr>
      <w:r>
        <w:t xml:space="preserve">Figures</w:t>
      </w:r>
    </w:p>
    <w:p>
      <w:pPr>
        <w:pStyle w:val="FirstParagraph"/>
      </w:pPr>
      <w:r>
        <w:rPr>
          <w:b/>
          <w:bCs/>
        </w:rPr>
        <w:t xml:space="preserve">Fig. 1</w:t>
      </w:r>
      <w:r>
        <w:t xml:space="preserve"> </w:t>
      </w:r>
      <w:r>
        <w:t xml:space="preserve">Primary-family coverage on target cohorts (Clopper–Pearson 95% CI). Dashed line = nominal 0.90; dotted = pre-specified operational audit threshold 0.80. LR = primary reference; LGBM = comparator</w:t>
      </w:r>
    </w:p>
    <w:p>
      <w:pPr>
        <w:pStyle w:val="CaptionedFigure"/>
      </w:pPr>
      <w:r>
        <w:drawing>
          <wp:inline>
            <wp:extent cx="5334000" cy="2296583"/>
            <wp:effectExtent b="0" l="0" r="0" t="0"/>
            <wp:docPr descr="Fig1" title="" id="32" name="Picture"/>
            <a:graphic>
              <a:graphicData uri="http://schemas.openxmlformats.org/drawingml/2006/picture">
                <pic:pic>
                  <pic:nvPicPr>
                    <pic:cNvPr descr="../figures/fig1_primary_forest.png" id="33" name="Picture"/>
                    <pic:cNvPicPr>
                      <a:picLocks noChangeArrowheads="1" noChangeAspect="1"/>
                    </pic:cNvPicPr>
                  </pic:nvPicPr>
                  <pic:blipFill>
                    <a:blip r:embed="rId31"/>
                    <a:stretch>
                      <a:fillRect/>
                    </a:stretch>
                  </pic:blipFill>
                  <pic:spPr bwMode="auto">
                    <a:xfrm>
                      <a:off x="0" y="0"/>
                      <a:ext cx="5334000" cy="2296583"/>
                    </a:xfrm>
                    <a:prstGeom prst="rect">
                      <a:avLst/>
                    </a:prstGeom>
                    <a:noFill/>
                    <a:ln w="9525">
                      <a:noFill/>
                      <a:headEnd/>
                      <a:tailEnd/>
                    </a:ln>
                  </pic:spPr>
                </pic:pic>
              </a:graphicData>
            </a:graphic>
          </wp:inline>
        </w:drawing>
      </w:r>
    </w:p>
    <w:p>
      <w:pPr>
        <w:pStyle w:val="ImageCaption"/>
      </w:pPr>
      <w:r>
        <w:t xml:space="preserve">Fig1</w:t>
      </w:r>
    </w:p>
    <w:p>
      <w:pPr>
        <w:pStyle w:val="BodyText"/>
      </w:pPr>
      <w:r>
        <w:rPr>
          <w:b/>
          <w:bCs/>
        </w:rPr>
        <w:t xml:space="preserve">Fig. 2</w:t>
      </w:r>
      <w:r>
        <w:t xml:space="preserve"> </w:t>
      </w:r>
      <w:r>
        <w:t xml:space="preserve">PD/HC class-conditional coverage (measured, unadjusted safety diagnostic — not a guarantee). Left = LR; right = LGBM. Squares = PD; circles = HC; annotations give per-class n</w:t>
      </w:r>
    </w:p>
    <w:p>
      <w:pPr>
        <w:pStyle w:val="CaptionedFigure"/>
      </w:pPr>
      <w:r>
        <w:drawing>
          <wp:inline>
            <wp:extent cx="5334000" cy="2222500"/>
            <wp:effectExtent b="0" l="0" r="0" t="0"/>
            <wp:docPr descr="Fig2" title="" id="35" name="Picture"/>
            <a:graphic>
              <a:graphicData uri="http://schemas.openxmlformats.org/drawingml/2006/picture">
                <pic:pic>
                  <pic:nvPicPr>
                    <pic:cNvPr descr="../figures/fig2_class_conditional.png" id="36" name="Picture"/>
                    <pic:cNvPicPr>
                      <a:picLocks noChangeArrowheads="1" noChangeAspect="1"/>
                    </pic:cNvPicPr>
                  </pic:nvPicPr>
                  <pic:blipFill>
                    <a:blip r:embed="rId34"/>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Fig2</w:t>
      </w:r>
    </w:p>
    <w:p>
      <w:pPr>
        <w:pStyle w:val="BodyText"/>
      </w:pPr>
      <w:r>
        <w:rPr>
          <w:b/>
          <w:bCs/>
        </w:rPr>
        <w:t xml:space="preserve">Fig. 3</w:t>
      </w:r>
      <w:r>
        <w:t xml:space="preserve"> </w:t>
      </w:r>
      <w:r>
        <w:t xml:space="preserve">Decoupling map: ΔAUC vs Δcoverage (50-seed means; 12 non-independent directions — descriptive, no correlation test). Left = LR; right = LGBM. Labels: dataset initials T = Tappy, M = MIT, Y = TyPD, O = Online English; arrow = transfer direction</w:t>
      </w:r>
    </w:p>
    <w:p>
      <w:pPr>
        <w:pStyle w:val="CaptionedFigure"/>
      </w:pPr>
      <w:r>
        <w:drawing>
          <wp:inline>
            <wp:extent cx="5334000" cy="2518833"/>
            <wp:effectExtent b="0" l="0" r="0" t="0"/>
            <wp:docPr descr="Fig3" title="" id="38" name="Picture"/>
            <a:graphic>
              <a:graphicData uri="http://schemas.openxmlformats.org/drawingml/2006/picture">
                <pic:pic>
                  <pic:nvPicPr>
                    <pic:cNvPr descr="../figures/fig3_decoupling.png" id="39" name="Picture"/>
                    <pic:cNvPicPr>
                      <a:picLocks noChangeArrowheads="1" noChangeAspect="1"/>
                    </pic:cNvPicPr>
                  </pic:nvPicPr>
                  <pic:blipFill>
                    <a:blip r:embed="rId37"/>
                    <a:stretch>
                      <a:fillRect/>
                    </a:stretch>
                  </pic:blipFill>
                  <pic:spPr bwMode="auto">
                    <a:xfrm>
                      <a:off x="0" y="0"/>
                      <a:ext cx="5334000" cy="2518833"/>
                    </a:xfrm>
                    <a:prstGeom prst="rect">
                      <a:avLst/>
                    </a:prstGeom>
                    <a:noFill/>
                    <a:ln w="9525">
                      <a:noFill/>
                      <a:headEnd/>
                      <a:tailEnd/>
                    </a:ln>
                  </pic:spPr>
                </pic:pic>
              </a:graphicData>
            </a:graphic>
          </wp:inline>
        </w:drawing>
      </w:r>
    </w:p>
    <w:p>
      <w:pPr>
        <w:pStyle w:val="ImageCaption"/>
      </w:pPr>
      <w:r>
        <w:t xml:space="preserve">Fig3</w:t>
      </w:r>
    </w:p>
    <w:p>
      <w:pPr>
        <w:pStyle w:val="BodyText"/>
      </w:pPr>
      <w:r>
        <w:rPr>
          <w:b/>
          <w:bCs/>
        </w:rPr>
        <w:t xml:space="preserve">Fig. 4</w:t>
      </w:r>
      <w:r>
        <w:t xml:space="preserve"> </w:t>
      </w:r>
      <w:r>
        <w:t xml:space="preserve">Recovery-cost curves. Open markers = degenerate full-set calibration (m&lt;9); stars = weighted CP at 0 labels (rejection 0.86–1.00): coverage without utility. Non-monotonic segments reflect single-draw sampling noise (pre-declared). Audit 0.80 = pre-specified operational audit threshold</w:t>
      </w:r>
    </w:p>
    <w:p>
      <w:pPr>
        <w:pStyle w:val="CaptionedFigure"/>
      </w:pPr>
      <w:r>
        <w:drawing>
          <wp:inline>
            <wp:extent cx="5334000" cy="2667000"/>
            <wp:effectExtent b="0" l="0" r="0" t="0"/>
            <wp:docPr descr="Fig4" title="" id="41" name="Picture"/>
            <a:graphic>
              <a:graphicData uri="http://schemas.openxmlformats.org/drawingml/2006/picture">
                <pic:pic>
                  <pic:nvPicPr>
                    <pic:cNvPr descr="../figures/fig4_recovery_cost.png" id="42" name="Picture"/>
                    <pic:cNvPicPr>
                      <a:picLocks noChangeArrowheads="1" noChangeAspect="1"/>
                    </pic:cNvPicPr>
                  </pic:nvPicPr>
                  <pic:blipFill>
                    <a:blip r:embed="rId4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Fig4</w:t>
      </w:r>
    </w:p>
    <w:p>
      <w:pPr>
        <w:pStyle w:val="BodyText"/>
      </w:pPr>
      <w:r>
        <w:rPr>
          <w:b/>
          <w:bCs/>
        </w:rPr>
        <w:t xml:space="preserve">Fig. 5</w:t>
      </w:r>
      <w:r>
        <w:t xml:space="preserve"> </w:t>
      </w:r>
      <w:r>
        <w:t xml:space="preserve">Coverage–abstention trade-off under label-free density-ratio weighting (0 target labels), three primary directions. Left: overall coverage on held-out target subjects (dashed = nominal 0.90; dotted = pre-specified operational audit threshold 0.80). Right: rejection (abstention) rate — the fraction of subjects whose prediction set is the full label set, i.e., no usable ranking</w:t>
      </w:r>
    </w:p>
    <w:p>
      <w:pPr>
        <w:pStyle w:val="CaptionedFigure"/>
      </w:pPr>
      <w:r>
        <w:drawing>
          <wp:inline>
            <wp:extent cx="5334000" cy="2148416"/>
            <wp:effectExtent b="0" l="0" r="0" t="0"/>
            <wp:docPr descr="Fig5" title="" id="44" name="Picture"/>
            <a:graphic>
              <a:graphicData uri="http://schemas.openxmlformats.org/drawingml/2006/picture">
                <pic:pic>
                  <pic:nvPicPr>
                    <pic:cNvPr descr="../figures/fig5_weighted_cp_tradeoff.png" id="45" name="Picture"/>
                    <pic:cNvPicPr>
                      <a:picLocks noChangeArrowheads="1" noChangeAspect="1"/>
                    </pic:cNvPicPr>
                  </pic:nvPicPr>
                  <pic:blipFill>
                    <a:blip r:embed="rId43"/>
                    <a:stretch>
                      <a:fillRect/>
                    </a:stretch>
                  </pic:blipFill>
                  <pic:spPr bwMode="auto">
                    <a:xfrm>
                      <a:off x="0" y="0"/>
                      <a:ext cx="5334000" cy="2148416"/>
                    </a:xfrm>
                    <a:prstGeom prst="rect">
                      <a:avLst/>
                    </a:prstGeom>
                    <a:noFill/>
                    <a:ln w="9525">
                      <a:noFill/>
                      <a:headEnd/>
                      <a:tailEnd/>
                    </a:ln>
                  </pic:spPr>
                </pic:pic>
              </a:graphicData>
            </a:graphic>
          </wp:inline>
        </w:drawing>
      </w:r>
    </w:p>
    <w:p>
      <w:pPr>
        <w:pStyle w:val="ImageCaption"/>
      </w:pPr>
      <w:r>
        <w:t xml:space="preserve">Fig5</w:t>
      </w:r>
    </w:p>
    <w:p>
      <w:pPr>
        <w:pStyle w:val="BodyText"/>
      </w:pPr>
      <w:r>
        <w:rPr>
          <w:b/>
          <w:bCs/>
        </w:rPr>
        <w:t xml:space="preserve">Fig. 6</w:t>
      </w:r>
      <w:r>
        <w:t xml:space="preserve"> </w:t>
      </w:r>
      <w:r>
        <w:t xml:space="preserve">Controlled stress tests, Tappy→MIT direction. A: synthetic label-flip dose–response on the clinical source (left: calibration-only, theory-aligned; right: train+calibration, deployment). B: three-arm real-transfer test — PD/HC-conditional coverage for the observed phenotype vs prevalence re-matching (pool level), prevalence-preserving flips and their combination (train+calibration scope); shaded bands = ±5 pp practical-equivalence tolerance around the observed phenotype</w:t>
      </w:r>
    </w:p>
    <w:p>
      <w:pPr>
        <w:pStyle w:val="CaptionedFigure"/>
      </w:pPr>
      <w:r>
        <w:drawing>
          <wp:inline>
            <wp:extent cx="5334000" cy="4148666"/>
            <wp:effectExtent b="0" l="0" r="0" t="0"/>
            <wp:docPr descr="Fig6" title="" id="47" name="Picture"/>
            <a:graphic>
              <a:graphicData uri="http://schemas.openxmlformats.org/drawingml/2006/picture">
                <pic:pic>
                  <pic:nvPicPr>
                    <pic:cNvPr descr="../figures/fig6_stress_tests.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Fig6</w:t>
      </w:r>
    </w:p>
    <w:bookmarkEnd w:id="49"/>
    <w:sectPr>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34" Type="http://schemas.openxmlformats.org/officeDocument/2006/relationships/image" Target="media/rId34.png"/><Relationship Id="rId37" Type="http://schemas.openxmlformats.org/officeDocument/2006/relationships/image" Target="media/rId37.png"/><Relationship Id="rId40" Type="http://schemas.openxmlformats.org/officeDocument/2006/relationships/image" Target="media/rId40.png"/><Relationship Id="rId43" Type="http://schemas.openxmlformats.org/officeDocument/2006/relationships/image" Target="media/rId43.png"/><Relationship Id="rId46" Type="http://schemas.openxmlformats.org/officeDocument/2006/relationships/image" Target="media/rId4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2026-09-27T08:48:53Z</dcterms:created>
  <dcterms:modified xsi:type="dcterms:W3CDTF">2026-09-27T08:48:53Z</dcterms:modified>
</cp:coreProperties>
</file>

<file path=docProps/custom.xml><?xml version="1.0" encoding="utf-8"?>
<Properties xmlns="http://schemas.openxmlformats.org/officeDocument/2006/custom-properties" xmlns:vt="http://schemas.openxmlformats.org/officeDocument/2006/docPropsVTypes"/>
</file>