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跨数据集部署下帕金森打字分类器的分数依赖型共形覆盖一项预注册的四数据集审计"/>
    <w:p>
      <w:pPr>
        <w:pStyle w:val="Heading1"/>
      </w:pPr>
      <w:r>
        <w:rPr>
          <w:rFonts w:hint="eastAsia"/>
        </w:rPr>
        <w:t xml:space="preserve">跨数据集部署下帕金森打字分类器的分数依赖型共形覆盖：一项预注册的四数据集审计</w:t>
      </w:r>
    </w:p>
    <w:p>
      <w:pPr>
        <w:pStyle w:val="FirstParagraph"/>
      </w:pPr>
      <w:r>
        <w:rPr>
          <w:rFonts w:hint="eastAsia"/>
          <w:b/>
          <w:bCs/>
        </w:rPr>
        <w:t xml:space="preserve">作者：</w:t>
      </w:r>
      <w:r>
        <w:t xml:space="preserve"> </w:t>
      </w:r>
      <w:r>
        <w:t xml:space="preserve">Taylor </w:t>
      </w:r>
      <w:r>
        <w:rPr>
          <w:rFonts w:hint="eastAsia"/>
        </w:rPr>
        <w:t xml:space="preserve">[名，姓]¹</w:t>
      </w:r>
    </w:p>
    <w:p>
      <w:pPr>
        <w:pStyle w:val="BodyText"/>
      </w:pPr>
      <w:r>
        <w:t xml:space="preserve">¹ </w:t>
      </w:r>
      <w:r>
        <w:rPr>
          <w:rFonts w:hint="eastAsia"/>
        </w:rPr>
        <w:t xml:space="preserve">[院系，机构，城市，国家]</w:t>
      </w:r>
    </w:p>
    <w:p>
      <w:pPr>
        <w:pStyle w:val="BodyText"/>
      </w:pPr>
      <w:r>
        <w:rPr>
          <w:rFonts w:hint="eastAsia"/>
          <w:b/>
          <w:bCs/>
        </w:rPr>
        <w:t xml:space="preserve">通信作者：</w:t>
      </w:r>
      <w:r>
        <w:t xml:space="preserve"> </w:t>
      </w:r>
      <w:r>
        <w:rPr>
          <w:rFonts w:hint="eastAsia"/>
        </w:rPr>
        <w:t xml:space="preserve">[名，姓]；邮箱：[待填]</w:t>
      </w:r>
    </w:p>
    <w:p>
      <w:pPr>
        <w:pStyle w:val="BodyText"/>
      </w:pPr>
      <w:r>
        <w:rPr>
          <w:rFonts w:hint="eastAsia"/>
          <w:b/>
          <w:bCs/>
        </w:rPr>
        <w:t xml:space="preserve">ORCID：</w:t>
      </w:r>
      <w:r>
        <w:t xml:space="preserve"> </w:t>
      </w:r>
      <w:r>
        <w:t xml:space="preserve">[16 </w:t>
      </w:r>
      <w:r>
        <w:rPr>
          <w:rFonts w:hint="eastAsia"/>
        </w:rPr>
        <w:t xml:space="preserve">位</w:t>
      </w:r>
      <w:r>
        <w:t xml:space="preserve"> iD </w:t>
      </w:r>
      <w:r>
        <w:rPr>
          <w:rFonts w:hint="eastAsia"/>
        </w:rPr>
        <w:t xml:space="preserve">待填]</w:t>
      </w:r>
    </w:p>
    <w:p>
      <w:r>
        <w:br w:type="page"/>
      </w:r>
    </w:p>
    <w:bookmarkStart w:id="9" w:name="摘要"/>
    <w:p>
      <w:pPr>
        <w:pStyle w:val="Heading2"/>
      </w:pPr>
      <w:r>
        <w:rPr>
          <w:rFonts w:hint="eastAsia"/>
        </w:rPr>
        <w:t xml:space="preserve">摘要</w:t>
      </w:r>
    </w:p>
    <w:p>
      <w:pPr>
        <w:pStyle w:val="FirstParagraph"/>
      </w:pPr>
      <w:r>
        <w:rPr>
          <w:rFonts w:hint="eastAsia"/>
        </w:rPr>
        <w:t xml:space="preserve">共形预测（conformal</w:t>
      </w:r>
      <w:r>
        <w:t xml:space="preserve"> prediction, </w:t>
      </w:r>
      <w:r>
        <w:rPr>
          <w:rFonts w:hint="eastAsia"/>
        </w:rPr>
        <w:t xml:space="preserve">CP）在可交换性下提供具边际覆盖保证的分布无关预测集合。在基于打字动力学的帕金森病（Parkinson’s</w:t>
      </w:r>
      <w:r>
        <w:t xml:space="preserve"> disease, </w:t>
      </w:r>
      <w:r>
        <w:rPr>
          <w:rFonts w:hint="eastAsia"/>
        </w:rPr>
        <w:t xml:space="preserve">PD）检测中，跨数据集部署会降低判别力，但覆盖保证在部署下的命运此前未被实证审计。在预注册协议下，我们审计了分类器从一个公开打字数据集训练、部署到另一个数据集时的</w:t>
      </w:r>
      <w:r>
        <w:t xml:space="preserve"> split-CP </w:t>
      </w:r>
      <w:r>
        <w:rPr>
          <w:rFonts w:hint="eastAsia"/>
        </w:rPr>
        <w:t xml:space="preserve">覆盖率（α</w:t>
      </w:r>
      <w:r>
        <w:t xml:space="preserve"> = </w:t>
      </w:r>
      <w:r>
        <w:rPr>
          <w:rFonts w:hint="eastAsia"/>
        </w:rPr>
        <w:t xml:space="preserve">0.10；逻辑回归参照模型），涉及四个公开数据集（冻结队列：475</w:t>
      </w:r>
      <w:r>
        <w:t xml:space="preserve"> </w:t>
      </w:r>
      <w:r>
        <w:rPr>
          <w:rFonts w:hint="eastAsia"/>
        </w:rPr>
        <w:t xml:space="preserve">名受试者）。预注册主终点家族覆盖三个高效力迁移方向，采用</w:t>
      </w:r>
      <w:r>
        <w:t xml:space="preserve"> Holm </w:t>
      </w:r>
      <w:r>
        <w:rPr>
          <w:rFonts w:hint="eastAsia"/>
        </w:rPr>
        <w:t xml:space="preserve">校正；PD</w:t>
      </w:r>
      <w:r>
        <w:t xml:space="preserve"> </w:t>
      </w:r>
      <w:r>
        <w:rPr>
          <w:rFonts w:hint="eastAsia"/>
        </w:rPr>
        <w:t xml:space="preserve">与健康对照（healthy-control,</w:t>
      </w:r>
      <w:r>
        <w:t xml:space="preserve"> </w:t>
      </w:r>
      <w:r>
        <w:rPr>
          <w:rFonts w:hint="eastAsia"/>
        </w:rPr>
        <w:t xml:space="preserve">HC）类条件覆盖为预设安全性诊断；恢复（目标域校准预算）与归因（患病率重采样与标签翻转应力测试）为预注册次要分析。三个主方向全部</w:t>
      </w:r>
      <w:r>
        <w:rPr>
          <w:rFonts w:hint="eastAsia"/>
          <w:b/>
          <w:bCs/>
        </w:rPr>
        <w:t xml:space="preserve">不相容</w:t>
      </w:r>
      <w:r>
        <w:rPr>
          <w:rFonts w:hint="eastAsia"/>
        </w:rPr>
        <w:t xml:space="preserve">——预注册判定，即与名义</w:t>
      </w:r>
      <w:r>
        <w:t xml:space="preserve"> 0.90 </w:t>
      </w:r>
      <w:r>
        <w:rPr>
          <w:rFonts w:hint="eastAsia"/>
        </w:rPr>
        <w:t xml:space="preserve">水平的统计不相容，而非临床判定（家族受控）：Tappy→MIT</w:t>
      </w:r>
      <w:r>
        <w:t xml:space="preserve"> 0.598 [95% </w:t>
      </w:r>
      <w:r>
        <w:rPr>
          <w:rFonts w:hint="eastAsia"/>
        </w:rPr>
        <w:t xml:space="preserve">置信区间（CI）0.483–0.704]，MIT→Tappy</w:t>
      </w:r>
      <w:r>
        <w:t xml:space="preserve"> 0.850 </w:t>
      </w:r>
      <w:r>
        <w:rPr>
          <w:rFonts w:hint="eastAsia"/>
        </w:rPr>
        <w:t xml:space="preserve">[0.788–0.899]，临床池→自报</w:t>
      </w:r>
      <w:r>
        <w:t xml:space="preserve"> 0.732 </w:t>
      </w:r>
      <w:r>
        <w:rPr>
          <w:rFonts w:hint="eastAsia"/>
        </w:rPr>
        <w:t xml:space="preserve">[0.684–0.777]。边际总量掩盖了类别不对称（Tappy→MIT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1.000）。覆盖退化呈分数依赖性：判别力更低的</w:t>
      </w:r>
      <w:r>
        <w:t xml:space="preserve"> LightGBM </w:t>
      </w:r>
      <w:r>
        <w:rPr>
          <w:rFonts w:hint="eastAsia"/>
        </w:rPr>
        <w:t xml:space="preserve">对照模型在所有主方向上维持</w:t>
      </w:r>
      <w:r>
        <w:t xml:space="preserve"> 0.925–1.000 </w:t>
      </w:r>
      <w:r>
        <w:rPr>
          <w:rFonts w:hint="eastAsia"/>
        </w:rPr>
        <w:t xml:space="preserve">的类条件覆盖。两个方向恢复需</w:t>
      </w:r>
      <w:r>
        <w:t xml:space="preserve"> 9–18 </w:t>
      </w:r>
      <w:r>
        <w:rPr>
          <w:rFonts w:hint="eastAsia"/>
        </w:rPr>
        <w:t xml:space="preserve">个目标域标注，但</w:t>
      </w:r>
      <w:r>
        <w:t xml:space="preserve"> Tappy→MIT </w:t>
      </w:r>
      <w:r>
        <w:rPr>
          <w:rFonts w:hint="eastAsia"/>
        </w:rPr>
        <w:t xml:space="preserve">按</w:t>
      </w:r>
      <w:r>
        <w:t xml:space="preserve"> CI </w:t>
      </w:r>
      <w:r>
        <w:rPr>
          <w:rFonts w:hint="eastAsia"/>
        </w:rPr>
        <w:t xml:space="preserve">准则在</w:t>
      </w:r>
      <w:r>
        <w:t xml:space="preserve"> 30% </w:t>
      </w:r>
      <w:r>
        <w:rPr>
          <w:rFonts w:hint="eastAsia"/>
        </w:rPr>
        <w:t xml:space="preserve">预算内未能恢复；无标注的加权</w:t>
      </w:r>
      <w:r>
        <w:t xml:space="preserve"> CP </w:t>
      </w:r>
      <w:r>
        <w:rPr>
          <w:rFonts w:hint="eastAsia"/>
        </w:rPr>
        <w:t xml:space="preserve">仅靠对</w:t>
      </w:r>
      <w:r>
        <w:t xml:space="preserve"> 86–100% </w:t>
      </w:r>
      <w:r>
        <w:rPr>
          <w:rFonts w:hint="eastAsia"/>
        </w:rPr>
        <w:t xml:space="preserve">受试者弃权实现覆盖。患病率重配与标签腐蚀均未能复现观察到的表型。在部署偏移下，判别力与覆盖表现为两个不同的可靠性维度；面向部署的报告应在受试者工作特征曲线下面积（AUC）之外纳入覆盖审计与类条件诊断。</w:t>
      </w:r>
    </w:p>
    <w:p>
      <w:pPr>
        <w:pStyle w:val="BodyText"/>
      </w:pPr>
      <w:r>
        <w:rPr>
          <w:rFonts w:hint="eastAsia"/>
          <w:b/>
          <w:bCs/>
        </w:rPr>
        <w:t xml:space="preserve">关键词：</w:t>
      </w:r>
      <w:r>
        <w:t xml:space="preserve"> </w:t>
      </w:r>
      <w:r>
        <w:rPr>
          <w:rFonts w:hint="eastAsia"/>
        </w:rPr>
        <w:t xml:space="preserve">共形预测；帕金森病；打字动力学；覆盖审计；跨数据集部署；临床决策支持</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w:t>
      </w:r>
      <w:r>
        <w:t xml:space="preserve"> </w:t>
      </w:r>
      <w:r>
        <w:rPr>
          <w:rFonts w:hint="eastAsia"/>
        </w:rPr>
        <w:t xml:space="preserve">[1–3]——典型指标是跨数据集迁移下的受试者工作特征曲线下面积（AUC），其退化已被充分记录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[7–10]。据我们所知，这是首个对公开帕金森打字数据集上的共形预测覆盖率进行系统性实证审计的工作。</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报告三条预注册证据表明它们确实不同：主终点家族的覆盖判定一致为负而判别力保持中等；判别力更低的对照模型展现出更高的覆盖率——覆盖失败是分数依赖的，而非任务偏移本身的属性；以形式上重现类条件崩塌的受控标签操纵，在量级上无法重现观察到的表型——患病率与噪声单独不足，指向特征空间偏移本身。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映射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覆盖率进行预注册、保密期的系统性审计，含冻结队列与家族受控主终点（新颖性声明仅在引言陈述一次）；(ii)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两个分数函数的六元组；(iii)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oracle、预注册协议、覆盖→工作流映射：单例=自动通过，双例=人工复核，全集=系统拒绝）。</w:t>
      </w:r>
    </w:p>
    <w:bookmarkEnd w:id="10"/>
    <w:bookmarkStart w:id="16" w:name="方法"/>
    <w:p>
      <w:pPr>
        <w:pStyle w:val="Heading2"/>
      </w:pPr>
      <w:r>
        <w:t xml:space="preserve">2. </w:t>
      </w:r>
      <w:r>
        <w:rPr>
          <w:rFonts w:hint="eastAsia"/>
        </w:rPr>
        <w:t xml:space="preserve">方法</w:t>
      </w:r>
    </w:p>
    <w:bookmarkStart w:id="11" w:name="数据与队列"/>
    <w:p>
      <w:pPr>
        <w:pStyle w:val="Heading3"/>
      </w:pPr>
      <w:r>
        <w:t xml:space="preserve">2.1 </w:t>
      </w:r>
      <w:r>
        <w:rPr>
          <w:rFonts w:hint="eastAsia"/>
        </w:rPr>
        <w:t xml:space="preserve">数据与队列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English（OE；自报，网页端）。清洗规则预注册且标签盲（七步；会话有效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w:t>
      </w:r>
      <w:r>
        <w:rPr>
          <w:rFonts w:hint="eastAsia"/>
        </w:rPr>
        <w:t xml:space="preserve">健康对照（HC）205）：MIT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p>
      <w:pPr>
        <w:pStyle w:val="BodyText"/>
      </w:pPr>
      <w:r>
        <w:rPr>
          <w:rFonts w:hint="eastAsia"/>
        </w:rPr>
        <w:t xml:space="preserve">本研究仅使用为研究用途发布的去标识化公开数据集，未收集新的人体数据，无任何干预。我们按</w:t>
      </w:r>
      <w:r>
        <w:t xml:space="preserve"> TRIPOD+AI </w:t>
      </w:r>
      <w:r>
        <w:rPr>
          <w:rFonts w:hint="eastAsia"/>
        </w:rPr>
        <w:t xml:space="preserve">声明</w:t>
      </w:r>
      <w:r>
        <w:t xml:space="preserve"> [14] </w:t>
      </w:r>
      <w:r>
        <w:rPr>
          <w:rFonts w:hint="eastAsia"/>
        </w:rPr>
        <w:t xml:space="preserve">报告；填写完成的清单作为补充材料随稿提交。分析协议在任何跨数据集覆盖数字算出之前已在</w:t>
      </w:r>
      <w:r>
        <w:t xml:space="preserve"> Open Science Framework </w:t>
      </w:r>
      <w:r>
        <w:rPr>
          <w:rFonts w:hint="eastAsia"/>
        </w:rPr>
        <w:t xml:space="preserve">预注册（保密期</w:t>
      </w:r>
      <w:r>
        <w:t xml:space="preserve"> 2 </w:t>
      </w:r>
      <w:r>
        <w:rPr>
          <w:rFonts w:hint="eastAsia"/>
        </w:rPr>
        <w:t xml:space="preserve">年；冻结计划</w:t>
      </w:r>
      <w:r>
        <w:t xml:space="preserve"> </w:t>
      </w:r>
      <w:r>
        <w:rPr>
          <w:rFonts w:hint="eastAsia"/>
        </w:rPr>
        <w:t xml:space="preserve">v1，标签</w:t>
      </w:r>
      <w:r>
        <w:t xml:space="preserve"> </w:t>
      </w:r>
      <w:r>
        <w:rPr>
          <w:rStyle w:val="VerbatimChar"/>
        </w:rPr>
        <w:t xml:space="preserve">v1.0-prereg</w:t>
      </w:r>
      <w:r>
        <w:rPr>
          <w:rFonts w:hint="eastAsia"/>
        </w:rPr>
        <w:t xml:space="preserve">；保密期内可申请获取）。基于大语言模型（LLM）的编码智能体（ZCode</w:t>
      </w:r>
      <w:r>
        <w:t xml:space="preserve"> </w:t>
      </w:r>
      <w:r>
        <w:rPr>
          <w:rFonts w:hint="eastAsia"/>
        </w:rPr>
        <w:t xml:space="preserve">CLI，经</w:t>
      </w:r>
      <w:r>
        <w:t xml:space="preserve"> API </w:t>
      </w:r>
      <w:r>
        <w:rPr>
          <w:rFonts w:hint="eastAsia"/>
        </w:rPr>
        <w:t xml:space="preserve">访问</w:t>
      </w:r>
      <w:r>
        <w:t xml:space="preserve"> GLM </w:t>
      </w:r>
      <w:r>
        <w:rPr>
          <w:rFonts w:hint="eastAsia"/>
        </w:rPr>
        <w:t xml:space="preserve">模型）在人工指导下用于分析管道执行、代码生成、内部一致性审计，以及依据冻结结果起草论文文本。按期刊政策报告：工具名称与版本</w:t>
      </w:r>
      <w:r>
        <w:t xml:space="preserve"> [ZCode </w:t>
      </w:r>
      <w:r>
        <w:rPr>
          <w:rFonts w:hint="eastAsia"/>
        </w:rPr>
        <w:t xml:space="preserve">CLI；模型版本与使用日期于提交时补全]、访问方式（命令行界面、API</w:t>
      </w:r>
      <w:r>
        <w:t xml:space="preserve"> </w:t>
      </w:r>
      <w:r>
        <w:rPr>
          <w:rFonts w:hint="eastAsia"/>
        </w:rPr>
        <w:t xml:space="preserve">访问）、代表性输入（自然语言任务指令；任务摘要与核验记录保存于版本控制仓库的变更日志）、人工核验（作者设计研究、对照冻结结果表核验全部输出，并对包括引文在内的全部内容负责）。任何</w:t>
      </w:r>
      <w:r>
        <w:t xml:space="preserve"> LLM </w:t>
      </w:r>
      <w:r>
        <w:rPr>
          <w:rFonts w:hint="eastAsia"/>
        </w:rPr>
        <w:t xml:space="preserve">输出均不作为证据；全部定量主张均来自冻结、可重跑的结果表。</w:t>
      </w:r>
    </w:p>
    <w:bookmarkEnd w:id="11"/>
    <w:bookmarkStart w:id="12" w:name="特征与模型"/>
    <w:p>
      <w:pPr>
        <w:pStyle w:val="Heading3"/>
      </w:pPr>
      <w:r>
        <w:t xml:space="preserve">2.2 </w:t>
      </w: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ℓ2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2"/>
    <w:bookmarkStart w:id="13" w:name="共形程序"/>
    <w:p>
      <w:pPr>
        <w:pStyle w:val="Heading3"/>
      </w:pPr>
      <w:r>
        <w:t xml:space="preserve">2.3 </w:t>
      </w:r>
      <w:r>
        <w:rPr>
          <w:rFonts w:hint="eastAsia"/>
        </w:rPr>
        <w:t xml:space="preserve">共形程序</w:t>
      </w:r>
    </w:p>
    <w:p>
      <w:pPr>
        <w:pStyle w:val="FirstParagraph"/>
      </w:pPr>
      <w:r>
        <w:t xml:space="preserve">Split CP </w:t>
      </w:r>
      <w:r>
        <w:rPr>
          <w:rFonts w:hint="eastAsia"/>
        </w:rPr>
        <w:t xml:space="preserve">使用</w:t>
      </w:r>
      <w:r>
        <w:t xml:space="preserve"> LAC </w:t>
      </w:r>
      <w:r>
        <w:rPr>
          <w:rFonts w:hint="eastAsia"/>
        </w:rPr>
        <w:t xml:space="preserve">分数（least</w:t>
      </w:r>
      <w:r>
        <w:t xml:space="preserve"> ambiguous set with </w:t>
      </w:r>
      <w:r>
        <w:rPr>
          <w:rFonts w:hint="eastAsia"/>
        </w:rPr>
        <w:t xml:space="preserve">class-conditionalization；1</w:t>
      </w:r>
      <w:r>
        <w:t xml:space="preserve"> − </w:t>
      </w:r>
      <w:r>
        <w:rPr>
          <w:rFonts w:hint="eastAsia"/>
        </w:rPr>
        <w:t xml:space="preserve">真类概率）、源队列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汇总仅作描述）、α</w:t>
      </w:r>
      <w:r>
        <w:t xml:space="preserve"> = </w:t>
      </w:r>
      <w:r>
        <w:rPr>
          <w:rFonts w:hint="eastAsia"/>
        </w:rPr>
        <w:t xml:space="preserve">0.10、水平</w:t>
      </w:r>
      <w:r>
        <w:t xml:space="preserve"> ⌈(n+1)(1−α)⌉ </w:t>
      </w:r>
      <w:r>
        <w:rPr>
          <w:rFonts w:hint="eastAsia"/>
        </w:rPr>
        <w:t xml:space="preserve">的有限样本次序统计分位。每程序四要素——预测器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CP（域分类器几率密度比、合池第</w:t>
      </w:r>
      <w:r>
        <w:t xml:space="preserve"> 99 </w:t>
      </w:r>
      <w:r>
        <w:rPr>
          <w:rFonts w:hint="eastAsia"/>
        </w:rPr>
        <w:t xml:space="preserve">百分位（p99）截断；Tibshirani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参照实现</w:t>
      </w:r>
      <w:r>
        <w:t xml:space="preserve"> [15] </w:t>
      </w:r>
      <w:r>
        <w:rPr>
          <w:rFonts w:hint="eastAsia"/>
        </w:rPr>
        <w:t xml:space="preserve">逐点一致（1800/1800），并通过</w:t>
      </w:r>
      <w:r>
        <w:t xml:space="preserve"> 18 </w:t>
      </w:r>
      <w:r>
        <w:rPr>
          <w:rFonts w:hint="eastAsia"/>
        </w:rPr>
        <w:t xml:space="preserve">项合成测试。</w:t>
      </w:r>
    </w:p>
    <w:bookmarkEnd w:id="13"/>
    <w:bookmarkStart w:id="14" w:name="终点与判定"/>
    <w:p>
      <w:pPr>
        <w:pStyle w:val="Heading3"/>
      </w:pPr>
      <w:r>
        <w:t xml:space="preserve">2.4 </w:t>
      </w:r>
      <w:r>
        <w:rPr>
          <w:rFonts w:hint="eastAsia"/>
        </w:rPr>
        <w:t xml:space="preserve">终点与判定</w:t>
      </w:r>
    </w:p>
    <w:p>
      <w:pPr>
        <w:pStyle w:val="FirstParagraph"/>
      </w:pPr>
      <w:r>
        <w:rPr>
          <w:rFonts w:hint="eastAsia"/>
        </w:rPr>
        <w:t xml:space="preserve">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）。运营上，每方向还按</w:t>
      </w:r>
      <w:r>
        <w:rPr>
          <w:rFonts w:hint="eastAsia"/>
          <w:b/>
          <w:bCs/>
        </w:rPr>
        <w:t xml:space="preserve">未调整的</w:t>
      </w:r>
      <w:r>
        <w:t xml:space="preserve"> </w:t>
      </w:r>
      <w:r>
        <w:t xml:space="preserve">95% Clopper–Pearson </w:t>
      </w:r>
      <w:r>
        <w:rPr>
          <w:rFonts w:hint="eastAsia"/>
        </w:rPr>
        <w:t xml:space="preserve">区间（CI）对照预设运营审计阈值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w:t>
      </w:r>
    </w:p>
    <w:bookmarkEnd w:id="14"/>
    <w:bookmarkStart w:id="15" w:name="恢复与归因"/>
    <w:p>
      <w:pPr>
        <w:pStyle w:val="Heading3"/>
      </w:pPr>
      <w:r>
        <w:t xml:space="preserve">2.5 </w:t>
      </w:r>
      <w:r>
        <w:rPr>
          <w:rFonts w:hint="eastAsia"/>
        </w:rPr>
        <w:t xml:space="preserve">恢复与归因</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5"/>
    <w:bookmarkEnd w:id="16"/>
    <w:bookmarkStart w:id="23" w:name="结果"/>
    <w:p>
      <w:pPr>
        <w:pStyle w:val="Heading2"/>
      </w:pPr>
      <w:r>
        <w:t xml:space="preserve">3. </w:t>
      </w:r>
      <w:r>
        <w:rPr>
          <w:rFonts w:hint="eastAsia"/>
        </w:rPr>
        <w:t xml:space="preserve">结果</w:t>
      </w:r>
    </w:p>
    <w:bookmarkStart w:id="17" w:name="主终点家族三方向全部不相容"/>
    <w:p>
      <w:pPr>
        <w:pStyle w:val="Heading3"/>
      </w:pPr>
      <w:r>
        <w:t xml:space="preserve">3.1 </w:t>
      </w:r>
      <w:r>
        <w:rPr>
          <w:rFonts w:hint="eastAsia"/>
        </w:rPr>
        <w:t xml:space="preserve">主终点家族：三方向全部不相容</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0.47–0.89），缺陷反映的是自信的错误覆盖而非无信息输出。单例率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0.963–0.988，但集合接近全集（平均</w:t>
      </w:r>
      <w:r>
        <w:t xml:space="preserve"> </w:t>
      </w:r>
      <w:r>
        <w:rPr>
          <w:rFonts w:hint="eastAsia"/>
        </w:rPr>
        <w:t xml:space="preserve">1.92–1.97；单例率</w:t>
      </w:r>
      <w:r>
        <w:t xml:space="preserve"> </w:t>
      </w:r>
      <w:r>
        <w:rPr>
          <w:rFonts w:hint="eastAsia"/>
        </w:rPr>
        <w:t xml:space="preserve">0.03–0.08）——以保守换取覆盖。</w:t>
      </w:r>
    </w:p>
    <w:bookmarkEnd w:id="17"/>
    <w:bookmarkStart w:id="18" w:name="安全性诊断边际覆盖掩盖类条件崩塌"/>
    <w:p>
      <w:pPr>
        <w:pStyle w:val="Heading3"/>
      </w:pPr>
      <w:r>
        <w:t xml:space="preserve">3.2 </w:t>
      </w:r>
      <w:r>
        <w:rPr>
          <w:rFonts w:hint="eastAsia"/>
        </w:rPr>
        <w:t xml:space="preserve">安全性诊断：边际覆盖掩盖类条件崩塌</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患者中的</w:t>
      </w:r>
      <w:r>
        <w:t xml:space="preserve"> 33 </w:t>
      </w:r>
      <w:r>
        <w:rPr>
          <w:rFonts w:hint="eastAsia"/>
        </w:rPr>
        <w:t xml:space="preserve">名（78.6%）收到的预测集不含其真实标签——多为仅含非</w:t>
      </w:r>
      <w:r>
        <w:t xml:space="preserve"> PD </w:t>
      </w:r>
      <w:r>
        <w:rPr>
          <w:rFonts w:hint="eastAsia"/>
        </w:rPr>
        <w:t xml:space="preserve">标签的自信单例，即自动通过筛查工作流下的</w:t>
      </w:r>
      <w:r>
        <w:rPr>
          <w:rFonts w:hint="eastAsia"/>
          <w:b/>
          <w:bCs/>
        </w:rPr>
        <w:t xml:space="preserve">虚假安心</w:t>
      </w:r>
      <w:r>
        <w:rPr>
          <w:rFonts w:hint="eastAsia"/>
        </w:rPr>
        <w:t xml:space="preserve">（图</w:t>
      </w:r>
      <w:r>
        <w:t xml:space="preserve"> </w:t>
      </w:r>
      <w:r>
        <w:rPr>
          <w:rFonts w:hint="eastAsia"/>
        </w:rPr>
        <w:t xml:space="preserve">2）。欠服务类别随目标域患病率翻转：在两个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18"/>
    <w:bookmarkStart w:id="19" w:name="解耦判别力与覆盖在不同轴上退化"/>
    <w:p>
      <w:pPr>
        <w:pStyle w:val="Heading3"/>
      </w:pPr>
      <w:r>
        <w:t xml:space="preserve">3.3 </w:t>
      </w:r>
      <w:r>
        <w:rPr>
          <w:rFonts w:hint="eastAsia"/>
        </w:rPr>
        <w:t xml:space="preserve">解耦：判别力与覆盖在不同轴上退化</w:t>
      </w:r>
    </w:p>
    <w:p>
      <w:pPr>
        <w:pStyle w:val="FirstParagraph"/>
      </w:pPr>
      <w:r>
        <w:rPr>
          <w:rFonts w:hint="eastAsia"/>
        </w:rPr>
        <w:t xml:space="preserve">全部</w:t>
      </w:r>
      <w:r>
        <w:t xml:space="preserve"> 12 </w:t>
      </w:r>
      <w:r>
        <w:rPr>
          <w:rFonts w:hint="eastAsia"/>
        </w:rPr>
        <w:t xml:space="preserve">个迁移方向中，两个分数函数的判别力与覆盖均不同步（图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w:t>
      </w:r>
    </w:p>
    <w:bookmarkEnd w:id="19"/>
    <w:bookmarkStart w:id="20" w:name="恢复分数存活处廉价分数崩塌处昂贵"/>
    <w:p>
      <w:pPr>
        <w:pStyle w:val="Heading3"/>
      </w:pPr>
      <w:r>
        <w:t xml:space="preserve">3.4 </w:t>
      </w:r>
      <w:r>
        <w:rPr>
          <w:rFonts w:hint="eastAsia"/>
        </w:rPr>
        <w:t xml:space="preserve">恢复：分数存活处廉价，分数崩塌处昂贵</w:t>
      </w:r>
    </w:p>
    <w:p>
      <w:pPr>
        <w:pStyle w:val="FirstParagraph"/>
      </w:pPr>
      <w:r>
        <w:t xml:space="preserve">MIT→Tappy </w:t>
      </w:r>
      <w:r>
        <w:rPr>
          <w:rFonts w:hint="eastAsia"/>
        </w:rPr>
        <w:t xml:space="preserve">用</w:t>
      </w:r>
      <w:r>
        <w:t xml:space="preserve"> 9 </w:t>
      </w:r>
      <w:r>
        <w:rPr>
          <w:rFonts w:hint="eastAsia"/>
        </w:rPr>
        <w:t xml:space="preserve">个标注即恢复审计阈值且</w:t>
      </w:r>
      <w:r>
        <w:t xml:space="preserve"> CI </w:t>
      </w:r>
      <w:r>
        <w:rPr>
          <w:rFonts w:hint="eastAsia"/>
        </w:rPr>
        <w:t xml:space="preserve">支持充分（0.982</w:t>
      </w:r>
      <w:r>
        <w:t xml:space="preserve"> [0.947, </w:t>
      </w:r>
      <w:r>
        <w:rPr>
          <w:rFonts w:hint="eastAsia"/>
        </w:rPr>
        <w:t xml:space="preserve">0.996]；图</w:t>
      </w:r>
      <w:r>
        <w:t xml:space="preserve"> </w:t>
      </w:r>
      <w:r>
        <w:rPr>
          <w:rFonts w:hint="eastAsia"/>
        </w:rPr>
        <w:t xml:space="preserve">4）；临床→自报</w:t>
      </w:r>
      <w:r>
        <w:t xml:space="preserve"> 18 </w:t>
      </w:r>
      <w:r>
        <w:rPr>
          <w:rFonts w:hint="eastAsia"/>
        </w:rPr>
        <w:t xml:space="preserve">个标注足够（0.876</w:t>
      </w:r>
      <w:r>
        <w:t xml:space="preserve"> [0.837, </w:t>
      </w:r>
      <w:r>
        <w:rPr>
          <w:rFonts w:hint="eastAsia"/>
        </w:rPr>
        <w:t xml:space="preserve">0.909]）。Tappy→MIT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受试者弃权：有覆盖无效用。α</w:t>
      </w:r>
      <w:r>
        <w:t xml:space="preserve"> = 0.10 </w:t>
      </w:r>
      <w:r>
        <w:rPr>
          <w:rFonts w:hint="eastAsia"/>
        </w:rPr>
        <w:t xml:space="preserve">下少于</w:t>
      </w:r>
      <w:r>
        <w:t xml:space="preserve"> 9 </w:t>
      </w:r>
      <w:r>
        <w:rPr>
          <w:rFonts w:hint="eastAsia"/>
        </w:rPr>
        <w:t xml:space="preserve">个目标标注即产生退化全集校准集。</w:t>
      </w:r>
    </w:p>
    <w:bookmarkEnd w:id="20"/>
    <w:bookmarkStart w:id="21" w:name="归因观察到的表型并非患病率或噪声单独制造"/>
    <w:p>
      <w:pPr>
        <w:pStyle w:val="Heading3"/>
      </w:pPr>
      <w:r>
        <w:t xml:space="preserve">3.5 </w:t>
      </w:r>
      <w:r>
        <w:rPr>
          <w:rFonts w:hint="eastAsia"/>
        </w:rPr>
        <w:t xml:space="preserve">归因：观察到的表型并非患病率或噪声单独制造</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5）。BBSE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而非患病率估计报告。部署覆盖表型在该方向预设剂量下无法由患病率重配或标签腐蚀单独复现；特征空间偏移本身是</w:t>
      </w:r>
      <w:r>
        <w:rPr>
          <w:rFonts w:hint="eastAsia"/>
          <w:b/>
          <w:bCs/>
        </w:rPr>
        <w:t xml:space="preserve">一个</w:t>
      </w:r>
      <w:r>
        <w:rPr>
          <w:rFonts w:hint="eastAsia"/>
        </w:rPr>
        <w:t xml:space="preserve">未被排除的因子（不主张因果识别），也不是患病率校正或标签清洗能独立解决的目标。</w:t>
      </w:r>
    </w:p>
    <w:bookmarkEnd w:id="21"/>
    <w:bookmarkStart w:id="22" w:name="稳健性与分组"/>
    <w:p>
      <w:pPr>
        <w:pStyle w:val="Heading3"/>
      </w:pPr>
      <w:r>
        <w:t xml:space="preserve">3.6 </w:t>
      </w:r>
      <w:r>
        <w:rPr>
          <w:rFonts w:hint="eastAsia"/>
        </w:rPr>
        <w:t xml:space="preserve">稳健性与分组</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0.058）意味着部分切分会落入证据不足带；家族级结论（跨切分平均覆盖低于</w:t>
      </w:r>
      <w:r>
        <w:t xml:space="preserve"> </w:t>
      </w:r>
      <w:r>
        <w:rPr>
          <w:rFonts w:hint="eastAsia"/>
        </w:rPr>
        <w:t xml:space="preserve">0.90，50-seed</w:t>
      </w:r>
      <w:r>
        <w:t xml:space="preserve"> </w:t>
      </w:r>
      <w:r>
        <w:rPr>
          <w:rFonts w:hint="eastAsia"/>
        </w:rPr>
        <w:t xml:space="preserve">对</w:t>
      </w:r>
      <w:r>
        <w:t xml:space="preserve"> 0.90 </w:t>
      </w:r>
      <w:r>
        <w:rPr>
          <w:rFonts w:hint="eastAsia"/>
        </w:rPr>
        <w:t xml:space="preserve">的</w:t>
      </w:r>
      <w:r>
        <w:t xml:space="preserve"> z ≈ </w:t>
      </w:r>
      <w:r>
        <w:rPr>
          <w:rFonts w:hint="eastAsia"/>
        </w:rPr>
        <w:t xml:space="preserve">5.7）与预注册功效分析见补充材料。性别分层覆盖（仅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2"/>
    <w:bookmarkEnd w:id="23"/>
    <w:bookmarkStart w:id="24" w:name="讨论"/>
    <w:p>
      <w:pPr>
        <w:pStyle w:val="Heading2"/>
      </w:pPr>
      <w:r>
        <w:t xml:space="preserve">4. </w:t>
      </w:r>
      <w:r>
        <w:rPr>
          <w:rFonts w:hint="eastAsia"/>
        </w:rPr>
        <w:t xml:space="preserve">讨论</w:t>
      </w:r>
    </w:p>
    <w:p>
      <w:pPr>
        <w:pStyle w:val="FirstParagraph"/>
      </w:pPr>
      <w:r>
        <w:rPr>
          <w:rFonts w:hint="eastAsia"/>
        </w:rPr>
        <w:t xml:space="preserve">核心发现。在</w:t>
      </w:r>
      <w:r>
        <w:t xml:space="preserve"> PD </w:t>
      </w:r>
      <w:r>
        <w:rPr>
          <w:rFonts w:hint="eastAsia"/>
        </w:rPr>
        <w:t xml:space="preserve">打字分类器的跨数据集部署下，共形覆盖保证表现为与判别力</w:t>
      </w:r>
      <w:r>
        <w:rPr>
          <w:rFonts w:hint="eastAsia"/>
          <w:b/>
          <w:bCs/>
        </w:rPr>
        <w:t xml:space="preserve">不同</w:t>
      </w:r>
      <w:r>
        <w:rPr>
          <w:rFonts w:hint="eastAsia"/>
        </w:rPr>
        <w:t xml:space="preserve">的可靠性维度：它在判别力看似可接受处家族受控地失效，在判别力看似差处存活，用可接受的边际总量掩盖类条件崩塌，以差异巨大的标注成本恢复，且无法由已测试的患病率与标签噪声机制复现。一个只报告</w:t>
      </w:r>
      <w:r>
        <w:t xml:space="preserve"> AUC </w:t>
      </w:r>
      <w:r>
        <w:rPr>
          <w:rFonts w:hint="eastAsia"/>
        </w:rPr>
        <w:t xml:space="preserve">的已部署筛查系统，只刻画了自身可靠性的一半。</w:t>
      </w:r>
    </w:p>
    <w:p>
      <w:pPr>
        <w:pStyle w:val="BodyText"/>
      </w:pPr>
      <w:r>
        <w:rPr>
          <w:rFonts w:hint="eastAsia"/>
        </w:rPr>
        <w:t xml:space="preserve">对实践——覆盖审计即部署治理。运营上，这些结果说明：一个部署可以通过</w:t>
      </w:r>
      <w:r>
        <w:t xml:space="preserve"> AUC </w:t>
      </w:r>
      <w:r>
        <w:rPr>
          <w:rFonts w:hint="eastAsia"/>
        </w:rPr>
        <w:t xml:space="preserve">验收测试，却静默地把大多数阳性患者路由进自动通过路径——这就是覆盖必须进入验收门而非事后评估的原因。具体地：(i)</w:t>
      </w:r>
      <w:r>
        <w:t xml:space="preserve"> </w:t>
      </w:r>
      <w:r>
        <w:rPr>
          <w:rFonts w:hint="eastAsia"/>
        </w:rPr>
        <w:t xml:space="preserve">将预注册判定词汇作为</w:t>
      </w:r>
      <w:r>
        <w:rPr>
          <w:rFonts w:hint="eastAsia"/>
          <w:b/>
          <w:bCs/>
        </w:rPr>
        <w:t xml:space="preserve">部署前验收门</w:t>
      </w:r>
      <w:r>
        <w:rPr>
          <w:rFonts w:hint="eastAsia"/>
        </w:rPr>
        <w:t xml:space="preserve">（证据不足/不相容</w:t>
      </w:r>
      <w:r>
        <w:t xml:space="preserve"> = </w:t>
      </w:r>
      <w:r>
        <w:rPr>
          <w:rFonts w:hint="eastAsia"/>
        </w:rPr>
        <w:t xml:space="preserve">无补救证据不得签核），并安排周期性重审计，在上游设备或人群变化时触发；(ii)</w:t>
      </w:r>
      <w:r>
        <w:t xml:space="preserve"> </w:t>
      </w:r>
      <w:r>
        <w:rPr>
          <w:rFonts w:hint="eastAsia"/>
        </w:rPr>
        <w:t xml:space="preserve">为每个部署站点预算小型、类别分层的常备校准集——本证据支持分数存活处的</w:t>
      </w:r>
      <w:r>
        <w:t xml:space="preserve"> 9–18 </w:t>
      </w:r>
      <w:r>
        <w:rPr>
          <w:rFonts w:hint="eastAsia"/>
        </w:rPr>
        <w:t xml:space="preserve">人预算，分数崩塌处则为拒绝部署（或仅弃权型工作流）政策；(iii)</w:t>
      </w:r>
      <w:r>
        <w:t xml:space="preserve"> </w:t>
      </w:r>
      <w:r>
        <w:rPr>
          <w:rFonts w:hint="eastAsia"/>
        </w:rPr>
        <w:t xml:space="preserve">将类条件审计结果作为允许任何自动通过工作流的</w:t>
      </w:r>
      <w:r>
        <w:rPr>
          <w:rFonts w:hint="eastAsia"/>
          <w:b/>
          <w:bCs/>
        </w:rPr>
        <w:t xml:space="preserve">门控条件</w:t>
      </w:r>
      <w:r>
        <w:t xml:space="preserve">——Tappy→MIT </w:t>
      </w:r>
      <w:r>
        <w:rPr>
          <w:rFonts w:hint="eastAsia"/>
        </w:rPr>
        <w:t xml:space="preserve">中自动通过单例意味着</w:t>
      </w:r>
      <w:r>
        <w:t xml:space="preserve"> 78.6% </w:t>
      </w:r>
      <w:r>
        <w:rPr>
          <w:rFonts w:hint="eastAsia"/>
        </w:rPr>
        <w:t xml:space="preserve">的</w:t>
      </w:r>
      <w:r>
        <w:t xml:space="preserve"> PD </w:t>
      </w:r>
      <w:r>
        <w:rPr>
          <w:rFonts w:hint="eastAsia"/>
        </w:rPr>
        <w:t xml:space="preserve">患者被静默放行；在</w:t>
      </w:r>
      <w:r>
        <w:t xml:space="preserve"> 1.1–1.5 </w:t>
      </w:r>
      <w:r>
        <w:rPr>
          <w:rFonts w:hint="eastAsia"/>
        </w:rPr>
        <w:t xml:space="preserve">的平均集合大小下，本可拦住这一失效的人工复核负载为</w:t>
      </w:r>
      <w:r>
        <w:t xml:space="preserve"> 10–50% </w:t>
      </w:r>
      <w:r>
        <w:rPr>
          <w:rFonts w:hint="eastAsia"/>
        </w:rPr>
        <w:t xml:space="preserve">的受试者，相对失效模式是适度成本；(iv)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p>
      <w:pPr>
        <w:pStyle w:val="BodyText"/>
      </w:pPr>
      <w:r>
        <w:rPr>
          <w:rFonts w:hint="eastAsia"/>
        </w:rPr>
        <w:t xml:space="preserve">与既往工作的关系。医学</w:t>
      </w:r>
      <w:r>
        <w:t xml:space="preserve"> CP </w:t>
      </w:r>
      <w:r>
        <w:rPr>
          <w:rFonts w:hint="eastAsia"/>
        </w:rPr>
        <w:t xml:space="preserve">覆盖审计已存在于跨机构模型迁移</w:t>
      </w:r>
      <w:r>
        <w:t xml:space="preserve"> </w:t>
      </w:r>
      <w:r>
        <w:rPr>
          <w:rFonts w:hint="eastAsia"/>
        </w:rPr>
        <w:t xml:space="preserve">[13]；PD</w:t>
      </w:r>
      <w:r>
        <w:t xml:space="preserve"> </w:t>
      </w:r>
      <w:r>
        <w:rPr>
          <w:rFonts w:hint="eastAsia"/>
        </w:rPr>
        <w:t xml:space="preserve">数字表型学已将</w:t>
      </w:r>
      <w:r>
        <w:t xml:space="preserve"> CP </w:t>
      </w:r>
      <w:r>
        <w:rPr>
          <w:rFonts w:hint="eastAsia"/>
        </w:rPr>
        <w:t xml:space="preserve">用于用药需求区间</w:t>
      </w:r>
      <w:r>
        <w:t xml:space="preserve"> [11] </w:t>
      </w:r>
      <w:r>
        <w:rPr>
          <w:rFonts w:hint="eastAsia"/>
        </w:rPr>
        <w:t xml:space="preserve">与真实世界数字神经标志物的可靠纵向评估</w:t>
      </w:r>
      <w:r>
        <w:t xml:space="preserve"> </w:t>
      </w:r>
      <w:r>
        <w:rPr>
          <w:rFonts w:hint="eastAsia"/>
        </w:rPr>
        <w:t xml:space="preserve">[12]——均为库内。跨数据集打字基准未考察不确定性。我们的结果不与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bookmarkEnd w:id="24"/>
    <w:bookmarkStart w:id="25" w:name="局限"/>
    <w:p>
      <w:pPr>
        <w:pStyle w:val="Heading2"/>
      </w:pPr>
      <w:r>
        <w:t xml:space="preserve">5. </w:t>
      </w: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分数依赖性通过两个分数函数、12</w:t>
      </w:r>
      <w:r>
        <w:t xml:space="preserve"> </w:t>
      </w:r>
      <w:r>
        <w:rPr>
          <w:rFonts w:hint="eastAsia"/>
        </w:rPr>
        <w:t xml:space="preserve">个非独立方向描述性确立；两个分数证明覆盖失效非任务固有，而非分数空间的普遍规律。(4)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w:t>
      </w:r>
    </w:p>
    <w:bookmarkEnd w:id="25"/>
    <w:bookmarkStart w:id="26" w:name="结论"/>
    <w:p>
      <w:pPr>
        <w:pStyle w:val="Heading2"/>
      </w:pPr>
      <w:r>
        <w:t xml:space="preserve">6. </w:t>
      </w:r>
      <w:r>
        <w:rPr>
          <w:rFonts w:hint="eastAsia"/>
        </w:rPr>
        <w:t xml:space="preserve">结论</w:t>
      </w:r>
    </w:p>
    <w:p>
      <w:pPr>
        <w:pStyle w:val="FirstParagraph"/>
      </w:pPr>
      <w:r>
        <w:rPr>
          <w:rFonts w:hint="eastAsia"/>
        </w:rPr>
        <w:t xml:space="preserve">判别指标与覆盖保证在部署偏移下独立失效。部署打字筛查的医疗系统应将覆盖审计——边际与类条件、按目标队列——作为与判别力评估并列的常态化要求，为每个站点预算小型校准集，并将候选分数函数的覆盖行为纳入模型选择考核。</w:t>
      </w:r>
    </w:p>
    <w:bookmarkEnd w:id="26"/>
    <w:bookmarkStart w:id="27" w:name="声明"/>
    <w:p>
      <w:pPr>
        <w:pStyle w:val="Heading2"/>
      </w:pPr>
      <w:r>
        <w:rPr>
          <w:rFonts w:hint="eastAsia"/>
        </w:rPr>
        <w:t xml:space="preserve">声明</w:t>
      </w:r>
    </w:p>
    <w:p>
      <w:pPr>
        <w:pStyle w:val="FirstParagraph"/>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p>
    <w:p>
      <w:pPr>
        <w:pStyle w:val="BodyText"/>
      </w:pPr>
      <w:r>
        <w:rPr>
          <w:rFonts w:hint="eastAsia"/>
          <w:b/>
          <w:bCs/>
        </w:rPr>
        <w:t xml:space="preserve">利益冲突。</w:t>
      </w:r>
      <w:r>
        <w:t xml:space="preserve"> </w:t>
      </w:r>
      <w:r>
        <w:rPr>
          <w:rFonts w:hint="eastAsia"/>
        </w:rPr>
        <w:t xml:space="preserve">作者声明无利益冲突。[待作者确认。]</w:t>
      </w:r>
    </w:p>
    <w:p>
      <w:pPr>
        <w:pStyle w:val="BodyText"/>
      </w:pP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English），未收集新的人体数据，无任何干预，故无需机构审查。[机构豁免声明由作者确认。]</w:t>
      </w:r>
    </w:p>
    <w:p>
      <w:pPr>
        <w:pStyle w:val="BodyText"/>
      </w:pPr>
      <w:r>
        <w:rPr>
          <w:rFonts w:hint="eastAsia"/>
          <w:b/>
          <w:bCs/>
        </w:rPr>
        <w:t xml:space="preserve">参与同意。</w:t>
      </w:r>
      <w:r>
        <w:t xml:space="preserve"> </w:t>
      </w:r>
      <w:r>
        <w:rPr>
          <w:rFonts w:hint="eastAsia"/>
        </w:rPr>
        <w:t xml:space="preserve">不适用：未新收集个体数据；全部数据集为公开研究发布，各有其知情同意框架。</w:t>
      </w:r>
    </w:p>
    <w:p>
      <w:pPr>
        <w:pStyle w:val="BodyText"/>
      </w:pPr>
      <w:r>
        <w:rPr>
          <w:rFonts w:hint="eastAsia"/>
          <w:b/>
          <w:bCs/>
        </w:rPr>
        <w:t xml:space="preserve">发表同意。</w:t>
      </w:r>
      <w:r>
        <w:t xml:space="preserve"> </w:t>
      </w:r>
      <w:r>
        <w:rPr>
          <w:rFonts w:hint="eastAsia"/>
        </w:rPr>
        <w:t xml:space="preserve">不适用：稿件不含可识别的个体数据。</w:t>
      </w:r>
    </w:p>
    <w:p>
      <w:pPr>
        <w:pStyle w:val="BodyText"/>
      </w:pP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w:t>
      </w:r>
      <w:r>
        <w:rPr>
          <w:rFonts w:hint="eastAsia"/>
        </w:rPr>
        <w:t xml:space="preserve">PhysioNet（nqmitcsxpd</w:t>
      </w:r>
      <w:r>
        <w:t xml:space="preserve"> </w:t>
      </w:r>
      <w:r>
        <w:rPr>
          <w:rFonts w:hint="eastAsia"/>
        </w:rPr>
        <w:t xml:space="preserve">1.0.0，https://physionet.org/content/nqmitcsxpd/1.0.0/）[1]；Tappy</w:t>
      </w:r>
      <w:r>
        <w:t xml:space="preserve"> Keplar </w:t>
      </w:r>
      <w:r>
        <w:rPr>
          <w:rFonts w:hint="eastAsia"/>
        </w:rPr>
        <w:t xml:space="preserve">经</w:t>
      </w:r>
      <w:r>
        <w:t xml:space="preserve"> </w:t>
      </w:r>
      <w:r>
        <w:rPr>
          <w:rFonts w:hint="eastAsia"/>
        </w:rPr>
        <w:t xml:space="preserve">PhysioNet（tappy</w:t>
      </w:r>
      <w:r>
        <w:t xml:space="preserve"> </w:t>
      </w:r>
      <w:r>
        <w:rPr>
          <w:rFonts w:hint="eastAsia"/>
        </w:rPr>
        <w:t xml:space="preserve">1.0.0，https://physionet.org/content/tappy/1.0.0/）；TyPD/i-PROGNOSIS</w:t>
      </w:r>
      <w:r>
        <w:t xml:space="preserve"> DS2.5 </w:t>
      </w:r>
      <w:r>
        <w:rPr>
          <w:rFonts w:hint="eastAsia"/>
        </w:rPr>
        <w:t xml:space="preserve">经</w:t>
      </w:r>
      <w:r>
        <w:t xml:space="preserve"> </w:t>
      </w:r>
      <w:r>
        <w:rPr>
          <w:rFonts w:hint="eastAsia"/>
        </w:rPr>
        <w:t xml:space="preserve">Zenodo（record</w:t>
      </w:r>
      <w:r>
        <w:t xml:space="preserve"> </w:t>
      </w:r>
      <w:r>
        <w:rPr>
          <w:rFonts w:hint="eastAsia"/>
        </w:rPr>
        <w:t xml:space="preserve">2571623，https://zenodo.org/records/2571623）；Online</w:t>
      </w:r>
      <w:r>
        <w:t xml:space="preserve"> English </w:t>
      </w:r>
      <w:r>
        <w:rPr>
          <w:rFonts w:hint="eastAsia"/>
        </w:rPr>
        <w:t xml:space="preserve">经</w:t>
      </w:r>
      <w:r>
        <w:t xml:space="preserve"> </w:t>
      </w:r>
      <w:r>
        <w:rPr>
          <w:rFonts w:hint="eastAsia"/>
        </w:rPr>
        <w:t xml:space="preserve">OSF（project</w:t>
      </w:r>
      <w:r>
        <w:t xml:space="preserve"> </w:t>
      </w:r>
      <w:r>
        <w:rPr>
          <w:rFonts w:hint="eastAsia"/>
        </w:rPr>
        <w:t xml:space="preserve">ew34b，https://osf.io/ew34b/）。本稿件不二次分发任何数据集。冻结队列构建（逐步纳入/排除计数）随代码在下方公开档案发布。</w:t>
      </w:r>
    </w:p>
    <w:p>
      <w:pPr>
        <w:pStyle w:val="BodyText"/>
      </w:pPr>
      <w:r>
        <w:rPr>
          <w:rFonts w:hint="eastAsia"/>
          <w:b/>
          <w:bCs/>
        </w:rPr>
        <w:t xml:space="preserve">代码可用性。</w:t>
      </w:r>
      <w:r>
        <w:t xml:space="preserve"> </w:t>
      </w:r>
      <w:r>
        <w:rPr>
          <w:rFonts w:hint="eastAsia"/>
        </w:rPr>
        <w:t xml:space="preserve">完整管道、单元测试套件、图表生成脚本与冻结结果表公开存档于</w:t>
      </w:r>
      <w:r>
        <w:t xml:space="preserve"> https://github.com/Tiannn0512/typing-pd-conformal-audit </w:t>
      </w:r>
      <w:r>
        <w:rPr>
          <w:rFonts w:hint="eastAsia"/>
        </w:rPr>
        <w:t xml:space="preserve">（公开时间戳档案；冻结结果标签</w:t>
      </w:r>
      <w:r>
        <w:t xml:space="preserve"> </w:t>
      </w:r>
      <w:r>
        <w:rPr>
          <w:rStyle w:val="VerbatimChar"/>
        </w:rPr>
        <w:t xml:space="preserve">results-frozen-v1</w:t>
      </w:r>
      <w:r>
        <w:rPr>
          <w:rFonts w:hint="eastAsia"/>
        </w:rPr>
        <w:t xml:space="preserve">）。DOI</w:t>
      </w:r>
      <w:r>
        <w:t xml:space="preserve"> </w:t>
      </w:r>
      <w:r>
        <w:rPr>
          <w:rFonts w:hint="eastAsia"/>
        </w:rPr>
        <w:t xml:space="preserve">将于录用时生成。[仓库</w:t>
      </w:r>
      <w:r>
        <w:t xml:space="preserve"> DOI </w:t>
      </w:r>
      <w:r>
        <w:rPr>
          <w:rFonts w:hint="eastAsia"/>
        </w:rPr>
        <w:t xml:space="preserve">待补。]</w:t>
      </w:r>
    </w:p>
    <w:p>
      <w:pPr>
        <w:pStyle w:val="BodyText"/>
      </w:pPr>
      <w:r>
        <w:rPr>
          <w:rFonts w:hint="eastAsia"/>
          <w:b/>
          <w:bCs/>
        </w:rPr>
        <w:t xml:space="preserve">作者贡献。</w:t>
      </w:r>
      <w:r>
        <w:t xml:space="preserve"> </w:t>
      </w:r>
      <w:r>
        <w:t xml:space="preserve">[CRediT </w:t>
      </w:r>
      <w:r>
        <w:rPr>
          <w:rFonts w:hint="eastAsia"/>
        </w:rPr>
        <w:t xml:space="preserve">角色由作者分配：概念化、方法学、软件、研究执行、写作——待分配。]</w:t>
      </w:r>
    </w:p>
    <w:p>
      <w:pPr>
        <w:pStyle w:val="BodyText"/>
      </w:pPr>
      <w:r>
        <w:rPr>
          <w:rFonts w:hint="eastAsia"/>
          <w:b/>
          <w:bCs/>
        </w:rPr>
        <w:t xml:space="preserve">大语言模型使用。</w:t>
      </w:r>
      <w:r>
        <w:t xml:space="preserve"> </w:t>
      </w:r>
      <w:r>
        <w:rPr>
          <w:rFonts w:hint="eastAsia"/>
        </w:rPr>
        <w:t xml:space="preserve">基于</w:t>
      </w:r>
      <w:r>
        <w:t xml:space="preserve"> LLM </w:t>
      </w:r>
      <w:r>
        <w:rPr>
          <w:rFonts w:hint="eastAsia"/>
        </w:rPr>
        <w:t xml:space="preserve">的编码智能体（ZCode</w:t>
      </w:r>
      <w:r>
        <w:t xml:space="preserve"> </w:t>
      </w:r>
      <w:r>
        <w:rPr>
          <w:rFonts w:hint="eastAsia"/>
        </w:rPr>
        <w:t xml:space="preserve">CLI，经</w:t>
      </w:r>
      <w:r>
        <w:t xml:space="preserve"> API </w:t>
      </w:r>
      <w:r>
        <w:rPr>
          <w:rFonts w:hint="eastAsia"/>
        </w:rPr>
        <w:t xml:space="preserve">访问</w:t>
      </w:r>
      <w:r>
        <w:t xml:space="preserve"> GLM </w:t>
      </w:r>
      <w:r>
        <w:rPr>
          <w:rFonts w:hint="eastAsia"/>
        </w:rPr>
        <w:t xml:space="preserve">模型）在人工指导下用于分析管道执行、代码生成、内部一致性审计，以及依据冻结结果起草论文文本；工具版本、使用日期与代表性输入记录在方法部分报告，并保存于版本控制仓库。作者设计研究、核验全部输出，并对包括引文在内的全部内容负责。</w:t>
      </w:r>
    </w:p>
    <w:bookmarkEnd w:id="27"/>
    <w:bookmarkStart w:id="28"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Liang M, Ramirez-Zamora A, Shickel B (2025) Uncertainty-aware prediction of Parkinson’s disease medication needs: a two-stage conformal prediction approach. arXiv:2508.10284. https://arxiv.org/abs/2508.10284</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w:t>
      </w:r>
      <w:r>
        <w:rPr>
          <w:rFonts w:hint="eastAsia"/>
        </w:rPr>
        <w:t xml:space="preserve">[预印本；作者确认是否有正式发表版]</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临床；仅合并源池</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自报；仅合并目标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0.90）。LR</w:t>
      </w:r>
      <w:r>
        <w:t xml:space="preserve"> = </w:t>
      </w:r>
      <w:r>
        <w:rPr>
          <w:rFonts w:hint="eastAsia"/>
        </w:rPr>
        <w:t xml:space="preserve">逻辑回归主参照；LGBM</w:t>
      </w:r>
      <w:r>
        <w:t xml:space="preserve"> = LightGBM </w:t>
      </w:r>
      <w:r>
        <w:rPr>
          <w:rFonts w:hint="eastAsia"/>
        </w:rPr>
        <w:t xml:space="preserve">对照（不进检验家族）。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br w:type="page"/>
      </w:r>
    </w:p>
    <w:bookmarkEnd w:id="30"/>
    <w:bookmarkStart w:id="46" w:name="图"/>
    <w:p>
      <w:pPr>
        <w:pStyle w:val="Heading1"/>
      </w:pPr>
      <w:r>
        <w:rPr>
          <w:rFonts w:hint="eastAsia"/>
        </w:rPr>
        <w:t xml:space="preserve">图</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0.80。蓝=LR(主参照),橙=LGBM(对照,DEC-T1)</w:t>
      </w:r>
    </w:p>
    <w:p>
      <w:pPr>
        <w:pStyle w:val="CaptionedFigure"/>
      </w:pPr>
      <w:r>
        <w:drawing>
          <wp:inline>
            <wp:extent cx="5334000" cy="2296583"/>
            <wp:effectExtent b="0" l="0" r="0" t="0"/>
            <wp:docPr descr="图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应力测试</w:t>
      </w:r>
      <w:r>
        <w:rPr>
          <w:b/>
          <w:bCs/>
        </w:rPr>
        <w:t xml:space="preserve"> A </w:t>
      </w:r>
      <w:r>
        <w:rPr>
          <w:rFonts w:hint="eastAsia"/>
          <w:b/>
          <w:bCs/>
        </w:rPr>
        <w:t xml:space="preserve">剂量-反应。</w:t>
      </w:r>
      <w:r>
        <w:t xml:space="preserve"> </w:t>
      </w:r>
      <w:r>
        <w:rPr>
          <w:rFonts w:hint="eastAsia"/>
        </w:rPr>
        <w:t xml:space="preserve">左=仅校准翻转(理论对齐),右=训练+校准翻转(部署读法);三臂按颜色+线型双编码</w:t>
      </w:r>
    </w:p>
    <w:p>
      <w:pPr>
        <w:pStyle w:val="CaptionedFigure"/>
      </w:pPr>
      <w:r>
        <w:drawing>
          <wp:inline>
            <wp:extent cx="5334000" cy="2222500"/>
            <wp:effectExtent b="0" l="0" r="0" t="0"/>
            <wp:docPr descr="图5" title="" id="44" name="Picture"/>
            <a:graphic>
              <a:graphicData uri="http://schemas.openxmlformats.org/drawingml/2006/picture">
                <pic:pic>
                  <pic:nvPicPr>
                    <pic:cNvPr descr="../figures/fig5_dose_response.png" id="45" name="Picture"/>
                    <pic:cNvPicPr>
                      <a:picLocks noChangeArrowheads="1" noChangeAspect="1"/>
                    </pic:cNvPicPr>
                  </pic:nvPicPr>
                  <pic:blipFill>
                    <a:blip r:embed="rId4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图5</w:t>
      </w:r>
    </w:p>
    <w:bookmarkEnd w:id="46"/>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2026-09-27T08:01:04Z</dcterms:created>
  <dcterms:modified xsi:type="dcterms:W3CDTF">2026-09-27T08:01:04Z</dcterms:modified>
</cp:coreProperties>
</file>

<file path=docProps/custom.xml><?xml version="1.0" encoding="utf-8"?>
<Properties xmlns="http://schemas.openxmlformats.org/officeDocument/2006/custom-properties" xmlns:vt="http://schemas.openxmlformats.org/officeDocument/2006/docPropsVTypes"/>
</file>