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4"/>
        </w:rPr>
        <w:t>Supplementary Table S1. Data cleaning rules and sample attrition</w:t>
      </w:r>
    </w:p>
    <w:p>
      <w:r>
        <w:t>All analysis metrics use the digraph — an ordered pair of consecutive keystrokes — as the basic unit of computation. Three timing quantities are derived per digraph: hold is the key-press duration, latency is the interval from the previous key release to the current key press, and flight is the press-to-press interval. A session is one continuous typing run: visit files for MIT, monthly files for Tappy, visits for TyPD, and single continuous entries for OE. Cleaning did not reference participants’ diagnostic labels at any step and relied only on the quality of the typing data itself.</w:t>
      </w:r>
    </w:p>
    <w:p>
      <w:r>
        <w:rPr>
          <w:b/>
        </w:rPr>
        <w:t>Panel A. Cleaning rules (applied in this order; thresholds fixed in the analysis plan)</w:t>
      </w:r>
    </w:p>
    <w:tbl>
      <w:tblPr>
        <w:tblStyle w:val="TableGrid"/>
        <w:tblW w:type="auto" w:w="0"/>
        <w:tblLook w:firstColumn="1" w:firstRow="1" w:lastColumn="0" w:lastRow="0" w:noHBand="0" w:noVBand="1" w:val="04A0"/>
      </w:tblPr>
      <w:tblGrid>
        <w:gridCol w:w="720"/>
        <w:gridCol w:w="6624"/>
        <w:gridCol w:w="2736"/>
      </w:tblGrid>
      <w:tr>
        <w:tc>
          <w:tcPr>
            <w:tcW w:type="dxa" w:w="2880"/>
          </w:tcPr>
          <w:p>
            <w:r>
              <w:rPr>
                <w:b/>
                <w:sz w:val="18"/>
              </w:rPr>
              <w:t>Step</w:t>
            </w:r>
          </w:p>
        </w:tc>
        <w:tc>
          <w:tcPr>
            <w:tcW w:type="dxa" w:w="2880"/>
          </w:tcPr>
          <w:p>
            <w:r>
              <w:rPr>
                <w:b/>
                <w:sz w:val="18"/>
              </w:rPr>
              <w:t>Rule</w:t>
            </w:r>
          </w:p>
        </w:tc>
        <w:tc>
          <w:tcPr>
            <w:tcW w:type="dxa" w:w="2880"/>
          </w:tcPr>
          <w:p>
            <w:r>
              <w:rPr>
                <w:b/>
                <w:sz w:val="18"/>
              </w:rPr>
              <w:t>Applies to</w:t>
            </w:r>
          </w:p>
        </w:tc>
      </w:tr>
      <w:tr>
        <w:tc>
          <w:tcPr>
            <w:tcW w:type="dxa" w:w="2880"/>
          </w:tcPr>
          <w:p>
            <w:r>
              <w:rPr>
                <w:sz w:val="18"/>
              </w:rPr>
              <w:t>S0</w:t>
            </w:r>
          </w:p>
        </w:tc>
        <w:tc>
          <w:tcPr>
            <w:tcW w:type="dxa" w:w="2880"/>
          </w:tcPr>
          <w:p>
            <w:r>
              <w:rPr>
                <w:sz w:val="18"/>
              </w:rPr>
              <w:t>Parsed press–release events on record.</w:t>
            </w:r>
          </w:p>
        </w:tc>
        <w:tc>
          <w:tcPr>
            <w:tcW w:type="dxa" w:w="2880"/>
          </w:tcPr>
          <w:p>
            <w:r>
              <w:rPr>
                <w:sz w:val="18"/>
              </w:rPr>
              <w:t>All datasets</w:t>
            </w:r>
          </w:p>
        </w:tc>
      </w:tr>
      <w:tr>
        <w:tc>
          <w:tcPr>
            <w:tcW w:type="dxa" w:w="2880"/>
          </w:tcPr>
          <w:p>
            <w:r>
              <w:rPr>
                <w:sz w:val="18"/>
              </w:rPr>
              <w:t>S1</w:t>
            </w:r>
          </w:p>
        </w:tc>
        <w:tc>
          <w:tcPr>
            <w:tcW w:type="dxa" w:w="2880"/>
          </w:tcPr>
          <w:p>
            <w:r>
              <w:rPr>
                <w:sz w:val="18"/>
              </w:rPr>
              <w:t>Digraph pool: parse-validated events with complete press and release timestamps; the first digraph of each session has no predecessor (no_predecessor: MIT 116, Tappy 0, TyPD 338, OE 3,442).</w:t>
            </w:r>
          </w:p>
        </w:tc>
        <w:tc>
          <w:tcPr>
            <w:tcW w:type="dxa" w:w="2880"/>
          </w:tcPr>
          <w:p>
            <w:r>
              <w:rPr>
                <w:sz w:val="18"/>
              </w:rPr>
              <w:t>All</w:t>
            </w:r>
          </w:p>
        </w:tc>
      </w:tr>
      <w:tr>
        <w:tc>
          <w:tcPr>
            <w:tcW w:type="dxa" w:w="2880"/>
          </w:tcPr>
          <w:p>
            <w:r>
              <w:rPr>
                <w:sz w:val="18"/>
              </w:rPr>
              <w:t>S2</w:t>
            </w:r>
          </w:p>
        </w:tc>
        <w:tc>
          <w:tcPr>
            <w:tcW w:type="dxa" w:w="2880"/>
          </w:tcPr>
          <w:p>
            <w:r>
              <w:rPr>
                <w:sz w:val="18"/>
              </w:rPr>
              <w:t>Universal timing: remove digraphs with hold or latency ≤ 0 s or &gt; 10 s.</w:t>
            </w:r>
          </w:p>
        </w:tc>
        <w:tc>
          <w:tcPr>
            <w:tcW w:type="dxa" w:w="2880"/>
          </w:tcPr>
          <w:p>
            <w:r>
              <w:rPr>
                <w:sz w:val="18"/>
              </w:rPr>
              <w:t>All</w:t>
            </w:r>
          </w:p>
        </w:tc>
      </w:tr>
      <w:tr>
        <w:tc>
          <w:tcPr>
            <w:tcW w:type="dxa" w:w="2880"/>
          </w:tcPr>
          <w:p>
            <w:r>
              <w:rPr>
                <w:sz w:val="18"/>
              </w:rPr>
              <w:t>S3</w:t>
            </w:r>
          </w:p>
        </w:tc>
        <w:tc>
          <w:tcPr>
            <w:tcW w:type="dxa" w:w="2880"/>
          </w:tcPr>
          <w:p>
            <w:r>
              <w:rPr>
                <w:sz w:val="18"/>
              </w:rPr>
              <w:t>Fixed-text rule: remove digraphs with flight &gt; 3 s.</w:t>
            </w:r>
          </w:p>
        </w:tc>
        <w:tc>
          <w:tcPr>
            <w:tcW w:type="dxa" w:w="2880"/>
          </w:tcPr>
          <w:p>
            <w:r>
              <w:rPr>
                <w:sz w:val="18"/>
              </w:rPr>
              <w:t>MIT, TyPD, OE (fixed-text transcription); Tappy is free text and exempt</w:t>
            </w:r>
          </w:p>
        </w:tc>
      </w:tr>
      <w:tr>
        <w:tc>
          <w:tcPr>
            <w:tcW w:type="dxa" w:w="2880"/>
          </w:tcPr>
          <w:p>
            <w:r>
              <w:rPr>
                <w:sz w:val="18"/>
              </w:rPr>
              <w:t>S4</w:t>
            </w:r>
          </w:p>
        </w:tc>
        <w:tc>
          <w:tcPr>
            <w:tcW w:type="dxa" w:w="2880"/>
          </w:tcPr>
          <w:p>
            <w:r>
              <w:rPr>
                <w:sz w:val="18"/>
              </w:rPr>
              <w:t>Visit selection: retain each participant’s first clinical visit only (31 MIT sessions removed).</w:t>
            </w:r>
          </w:p>
        </w:tc>
        <w:tc>
          <w:tcPr>
            <w:tcW w:type="dxa" w:w="2880"/>
          </w:tcPr>
          <w:p>
            <w:r>
              <w:rPr>
                <w:sz w:val="18"/>
              </w:rPr>
              <w:t>MIT</w:t>
            </w:r>
          </w:p>
        </w:tc>
      </w:tr>
      <w:tr>
        <w:tc>
          <w:tcPr>
            <w:tcW w:type="dxa" w:w="2880"/>
          </w:tcPr>
          <w:p>
            <w:r>
              <w:rPr>
                <w:sz w:val="18"/>
              </w:rPr>
              <w:t>S5</w:t>
            </w:r>
          </w:p>
        </w:tc>
        <w:tc>
          <w:tcPr>
            <w:tcW w:type="dxa" w:w="2880"/>
          </w:tcPr>
          <w:p>
            <w:r>
              <w:rPr>
                <w:sz w:val="18"/>
              </w:rPr>
              <w:t>Session rules: typing rate &lt; 20 characters per minute; sessions with &lt; 100 valid digraphs removed.</w:t>
            </w:r>
          </w:p>
        </w:tc>
        <w:tc>
          <w:tcPr>
            <w:tcW w:type="dxa" w:w="2880"/>
          </w:tcPr>
          <w:p>
            <w:r>
              <w:rPr>
                <w:sz w:val="18"/>
              </w:rPr>
              <w:t>Rate rule: MIT, TyPD, OE; valid-digraph rule: all</w:t>
            </w:r>
          </w:p>
        </w:tc>
      </w:tr>
      <w:tr>
        <w:tc>
          <w:tcPr>
            <w:tcW w:type="dxa" w:w="2880"/>
          </w:tcPr>
          <w:p>
            <w:r>
              <w:rPr>
                <w:sz w:val="18"/>
              </w:rPr>
              <w:t>S6</w:t>
            </w:r>
          </w:p>
        </w:tc>
        <w:tc>
          <w:tcPr>
            <w:tcW w:type="dxa" w:w="2880"/>
          </w:tcPr>
          <w:p>
            <w:r>
              <w:rPr>
                <w:sz w:val="18"/>
              </w:rPr>
              <w:t>Person rule: participants with &lt; 300 valid digraphs excluded.</w:t>
            </w:r>
          </w:p>
        </w:tc>
        <w:tc>
          <w:tcPr>
            <w:tcW w:type="dxa" w:w="2880"/>
          </w:tcPr>
          <w:p>
            <w:r>
              <w:rPr>
                <w:sz w:val="18"/>
              </w:rPr>
              <w:t>All</w:t>
            </w:r>
          </w:p>
        </w:tc>
      </w:tr>
      <w:tr>
        <w:tc>
          <w:tcPr>
            <w:tcW w:type="dxa" w:w="2880"/>
          </w:tcPr>
          <w:p>
            <w:r>
              <w:rPr>
                <w:sz w:val="18"/>
              </w:rPr>
              <w:t>S7</w:t>
            </w:r>
          </w:p>
        </w:tc>
        <w:tc>
          <w:tcPr>
            <w:tcW w:type="dxa" w:w="2880"/>
          </w:tcPr>
          <w:p>
            <w:r>
              <w:rPr>
                <w:sz w:val="18"/>
              </w:rPr>
              <w:t>Label rules: participants without diagnosis labels excluded; labelled participants whose records contain no parseable events never enter the pipeline; three Tappy participants reporting tremor without a PD diagnosis excluded from the primary analysis (re-inclusion under each label assignment reported as a sensitivity analysis).</w:t>
            </w:r>
          </w:p>
        </w:tc>
        <w:tc>
          <w:tcPr>
            <w:tcW w:type="dxa" w:w="2880"/>
          </w:tcPr>
          <w:p>
            <w:r>
              <w:rPr>
                <w:sz w:val="18"/>
              </w:rPr>
              <w:t>All</w:t>
            </w:r>
          </w:p>
        </w:tc>
      </w:tr>
      <w:tr>
        <w:tc>
          <w:tcPr>
            <w:tcW w:type="dxa" w:w="2880"/>
          </w:tcPr>
          <w:p>
            <w:r>
              <w:rPr>
                <w:sz w:val="18"/>
              </w:rPr>
              <w:t>S8</w:t>
            </w:r>
          </w:p>
        </w:tc>
        <w:tc>
          <w:tcPr>
            <w:tcW w:type="dxa" w:w="2880"/>
          </w:tcPr>
          <w:p>
            <w:r>
              <w:rPr>
                <w:sz w:val="18"/>
              </w:rPr>
              <w:t>Final analysis cohort: 475 participants (PD 270 / HC 205), corresponding to Table 1.</w:t>
            </w:r>
          </w:p>
        </w:tc>
        <w:tc>
          <w:tcPr>
            <w:tcW w:type="dxa" w:w="2880"/>
          </w:tcPr>
          <w:p>
            <w:r>
              <w:rPr>
                <w:sz w:val="18"/>
              </w:rPr>
              <w:t>—</w:t>
            </w:r>
          </w:p>
        </w:tc>
      </w:tr>
    </w:tbl>
    <w:p/>
    <w:p>
      <w:r>
        <w:rPr>
          <w:b/>
        </w:rPr>
        <w:t>Panel B. Sample attrition by step (participants / sessions / digraphs remaining)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Step</w:t>
            </w:r>
          </w:p>
        </w:tc>
        <w:tc>
          <w:tcPr>
            <w:tcW w:type="dxa" w:w="1728"/>
          </w:tcPr>
          <w:p>
            <w:r>
              <w:rPr>
                <w:b/>
                <w:sz w:val="18"/>
              </w:rPr>
              <w:t>MIT</w:t>
            </w:r>
          </w:p>
        </w:tc>
        <w:tc>
          <w:tcPr>
            <w:tcW w:type="dxa" w:w="1728"/>
          </w:tcPr>
          <w:p>
            <w:r>
              <w:rPr>
                <w:b/>
                <w:sz w:val="18"/>
              </w:rPr>
              <w:t>Tappy</w:t>
            </w:r>
          </w:p>
        </w:tc>
        <w:tc>
          <w:tcPr>
            <w:tcW w:type="dxa" w:w="1728"/>
          </w:tcPr>
          <w:p>
            <w:r>
              <w:rPr>
                <w:b/>
                <w:sz w:val="18"/>
              </w:rPr>
              <w:t>TyPD</w:t>
            </w:r>
          </w:p>
        </w:tc>
        <w:tc>
          <w:tcPr>
            <w:tcW w:type="dxa" w:w="1728"/>
          </w:tcPr>
          <w:p>
            <w:r>
              <w:rPr>
                <w:b/>
                <w:sz w:val="18"/>
              </w:rPr>
              <w:t>Online English</w:t>
            </w:r>
          </w:p>
        </w:tc>
      </w:tr>
      <w:tr>
        <w:tc>
          <w:tcPr>
            <w:tcW w:type="dxa" w:w="1728"/>
          </w:tcPr>
          <w:p>
            <w:r>
              <w:rPr>
                <w:sz w:val="18"/>
              </w:rPr>
              <w:t>S0</w:t>
            </w:r>
          </w:p>
        </w:tc>
        <w:tc>
          <w:tcPr>
            <w:tcW w:type="dxa" w:w="1728"/>
          </w:tcPr>
          <w:p>
            <w:r>
              <w:rPr>
                <w:sz w:val="18"/>
              </w:rPr>
              <w:t>85 / 116 / 171,973</w:t>
            </w:r>
          </w:p>
        </w:tc>
        <w:tc>
          <w:tcPr>
            <w:tcW w:type="dxa" w:w="1728"/>
          </w:tcPr>
          <w:p>
            <w:r>
              <w:rPr>
                <w:sz w:val="18"/>
              </w:rPr>
              <w:t>266 / 621 / 9,316,858</w:t>
            </w:r>
          </w:p>
        </w:tc>
        <w:tc>
          <w:tcPr>
            <w:tcW w:type="dxa" w:w="1728"/>
          </w:tcPr>
          <w:p>
            <w:r>
              <w:rPr>
                <w:sz w:val="18"/>
              </w:rPr>
              <w:t>33 / 33 / 26,343</w:t>
            </w:r>
          </w:p>
        </w:tc>
        <w:tc>
          <w:tcPr>
            <w:tcW w:type="dxa" w:w="1728"/>
          </w:tcPr>
          <w:p>
            <w:r>
              <w:rPr>
                <w:sz w:val="18"/>
              </w:rPr>
              <w:t>232 / 3,451 / 437,915</w:t>
            </w:r>
          </w:p>
        </w:tc>
      </w:tr>
      <w:tr>
        <w:tc>
          <w:tcPr>
            <w:tcW w:type="dxa" w:w="1728"/>
          </w:tcPr>
          <w:p>
            <w:r>
              <w:rPr>
                <w:sz w:val="18"/>
              </w:rPr>
              <w:t>S1</w:t>
            </w:r>
          </w:p>
        </w:tc>
        <w:tc>
          <w:tcPr>
            <w:tcW w:type="dxa" w:w="1728"/>
          </w:tcPr>
          <w:p>
            <w:r>
              <w:rPr>
                <w:sz w:val="18"/>
              </w:rPr>
              <w:t>85 / 116 / 171,857</w:t>
            </w:r>
          </w:p>
        </w:tc>
        <w:tc>
          <w:tcPr>
            <w:tcW w:type="dxa" w:w="1728"/>
          </w:tcPr>
          <w:p>
            <w:r>
              <w:rPr>
                <w:sz w:val="18"/>
              </w:rPr>
              <w:t>266 / 621 / 9,316,025</w:t>
            </w:r>
          </w:p>
        </w:tc>
        <w:tc>
          <w:tcPr>
            <w:tcW w:type="dxa" w:w="1728"/>
          </w:tcPr>
          <w:p>
            <w:r>
              <w:rPr>
                <w:sz w:val="18"/>
              </w:rPr>
              <w:t>33 / 33 / 26,005</w:t>
            </w:r>
          </w:p>
        </w:tc>
        <w:tc>
          <w:tcPr>
            <w:tcW w:type="dxa" w:w="1728"/>
          </w:tcPr>
          <w:p>
            <w:r>
              <w:rPr>
                <w:sz w:val="18"/>
              </w:rPr>
              <w:t>232 / 3,451 / 434,464</w:t>
            </w:r>
          </w:p>
        </w:tc>
      </w:tr>
      <w:tr>
        <w:tc>
          <w:tcPr>
            <w:tcW w:type="dxa" w:w="1728"/>
          </w:tcPr>
          <w:p>
            <w:r>
              <w:rPr>
                <w:sz w:val="18"/>
              </w:rPr>
              <w:t>S2</w:t>
            </w:r>
          </w:p>
        </w:tc>
        <w:tc>
          <w:tcPr>
            <w:tcW w:type="dxa" w:w="1728"/>
          </w:tcPr>
          <w:p>
            <w:r>
              <w:rPr>
                <w:sz w:val="18"/>
              </w:rPr>
              <w:t>85 / 116 / 159,030</w:t>
            </w:r>
          </w:p>
        </w:tc>
        <w:tc>
          <w:tcPr>
            <w:tcW w:type="dxa" w:w="1728"/>
          </w:tcPr>
          <w:p>
            <w:r>
              <w:rPr>
                <w:sz w:val="18"/>
              </w:rPr>
              <w:t>266 / 621 / 9,301,264</w:t>
            </w:r>
          </w:p>
        </w:tc>
        <w:tc>
          <w:tcPr>
            <w:tcW w:type="dxa" w:w="1728"/>
          </w:tcPr>
          <w:p>
            <w:r>
              <w:rPr>
                <w:sz w:val="18"/>
              </w:rPr>
              <w:t>33 / 33 / 25,893</w:t>
            </w:r>
          </w:p>
        </w:tc>
        <w:tc>
          <w:tcPr>
            <w:tcW w:type="dxa" w:w="1728"/>
          </w:tcPr>
          <w:p>
            <w:r>
              <w:rPr>
                <w:sz w:val="18"/>
              </w:rPr>
              <w:t>232 / 3,451 / 351,761</w:t>
            </w:r>
          </w:p>
        </w:tc>
      </w:tr>
      <w:tr>
        <w:tc>
          <w:tcPr>
            <w:tcW w:type="dxa" w:w="1728"/>
          </w:tcPr>
          <w:p>
            <w:r>
              <w:rPr>
                <w:sz w:val="18"/>
              </w:rPr>
              <w:t>S3</w:t>
            </w:r>
          </w:p>
        </w:tc>
        <w:tc>
          <w:tcPr>
            <w:tcW w:type="dxa" w:w="1728"/>
          </w:tcPr>
          <w:p>
            <w:r>
              <w:rPr>
                <w:sz w:val="18"/>
              </w:rPr>
              <w:t>85 / 116 / 155,408</w:t>
            </w:r>
          </w:p>
        </w:tc>
        <w:tc>
          <w:tcPr>
            <w:tcW w:type="dxa" w:w="1728"/>
          </w:tcPr>
          <w:p>
            <w:r>
              <w:rPr>
                <w:sz w:val="18"/>
              </w:rPr>
              <w:t>n/a</w:t>
            </w:r>
          </w:p>
        </w:tc>
        <w:tc>
          <w:tcPr>
            <w:tcW w:type="dxa" w:w="1728"/>
          </w:tcPr>
          <w:p>
            <w:r>
              <w:rPr>
                <w:sz w:val="18"/>
              </w:rPr>
              <w:t>33 / 33 / 24,123</w:t>
            </w:r>
          </w:p>
        </w:tc>
        <w:tc>
          <w:tcPr>
            <w:tcW w:type="dxa" w:w="1728"/>
          </w:tcPr>
          <w:p>
            <w:r>
              <w:rPr>
                <w:sz w:val="18"/>
              </w:rPr>
              <w:t>232 / 3,451 / 350,272</w:t>
            </w:r>
          </w:p>
        </w:tc>
      </w:tr>
      <w:tr>
        <w:tc>
          <w:tcPr>
            <w:tcW w:type="dxa" w:w="1728"/>
          </w:tcPr>
          <w:p>
            <w:r>
              <w:rPr>
                <w:sz w:val="18"/>
              </w:rPr>
              <w:t>S4</w:t>
            </w:r>
          </w:p>
        </w:tc>
        <w:tc>
          <w:tcPr>
            <w:tcW w:type="dxa" w:w="1728"/>
          </w:tcPr>
          <w:p>
            <w:r>
              <w:rPr>
                <w:sz w:val="18"/>
              </w:rPr>
              <w:t>85 / 116 / 155,408</w:t>
            </w:r>
          </w:p>
        </w:tc>
        <w:tc>
          <w:tcPr>
            <w:tcW w:type="dxa" w:w="1728"/>
          </w:tcPr>
          <w:p>
            <w:r>
              <w:rPr>
                <w:sz w:val="18"/>
              </w:rPr>
              <w:t>n/a</w:t>
            </w:r>
          </w:p>
        </w:tc>
        <w:tc>
          <w:tcPr>
            <w:tcW w:type="dxa" w:w="1728"/>
          </w:tcPr>
          <w:p>
            <w:r>
              <w:rPr>
                <w:sz w:val="18"/>
              </w:rPr>
              <w:t>n/a</w:t>
            </w:r>
          </w:p>
        </w:tc>
        <w:tc>
          <w:tcPr>
            <w:tcW w:type="dxa" w:w="1728"/>
          </w:tcPr>
          <w:p>
            <w:r>
              <w:rPr>
                <w:sz w:val="18"/>
              </w:rPr>
              <w:t>232 / 3,406 / 350,272</w:t>
            </w:r>
          </w:p>
        </w:tc>
      </w:tr>
      <w:tr>
        <w:tc>
          <w:tcPr>
            <w:tcW w:type="dxa" w:w="1728"/>
          </w:tcPr>
          <w:p>
            <w:r>
              <w:rPr>
                <w:sz w:val="18"/>
              </w:rPr>
              <w:t>S5</w:t>
            </w:r>
          </w:p>
        </w:tc>
        <w:tc>
          <w:tcPr>
            <w:tcW w:type="dxa" w:w="1728"/>
          </w:tcPr>
          <w:p>
            <w:r>
              <w:rPr>
                <w:sz w:val="18"/>
              </w:rPr>
              <w:t>85 / 82 / 112,014</w:t>
            </w:r>
          </w:p>
        </w:tc>
        <w:tc>
          <w:tcPr>
            <w:tcW w:type="dxa" w:w="1728"/>
          </w:tcPr>
          <w:p>
            <w:r>
              <w:rPr>
                <w:sz w:val="18"/>
              </w:rPr>
              <w:t>266 / 560 / 9,298,974</w:t>
            </w:r>
          </w:p>
        </w:tc>
        <w:tc>
          <w:tcPr>
            <w:tcW w:type="dxa" w:w="1728"/>
          </w:tcPr>
          <w:p>
            <w:r>
              <w:rPr>
                <w:sz w:val="18"/>
              </w:rPr>
              <w:t>33 / 27 / 20,822</w:t>
            </w:r>
          </w:p>
        </w:tc>
        <w:tc>
          <w:tcPr>
            <w:tcW w:type="dxa" w:w="1728"/>
          </w:tcPr>
          <w:p>
            <w:r>
              <w:rPr>
                <w:sz w:val="18"/>
              </w:rPr>
              <w:t>232 / 1,891 / 237,565</w:t>
            </w:r>
          </w:p>
        </w:tc>
      </w:tr>
      <w:tr>
        <w:tc>
          <w:tcPr>
            <w:tcW w:type="dxa" w:w="1728"/>
          </w:tcPr>
          <w:p>
            <w:r>
              <w:rPr>
                <w:sz w:val="18"/>
              </w:rPr>
              <w:t>S6</w:t>
            </w:r>
          </w:p>
        </w:tc>
        <w:tc>
          <w:tcPr>
            <w:tcW w:type="dxa" w:w="1728"/>
          </w:tcPr>
          <w:p>
            <w:r>
              <w:rPr>
                <w:sz w:val="18"/>
              </w:rPr>
              <w:t>82 / 82 / 112,014</w:t>
            </w:r>
          </w:p>
        </w:tc>
        <w:tc>
          <w:tcPr>
            <w:tcW w:type="dxa" w:w="1728"/>
          </w:tcPr>
          <w:p>
            <w:r>
              <w:rPr>
                <w:sz w:val="18"/>
              </w:rPr>
              <w:t>205 / 538 / 9,295,008</w:t>
            </w:r>
          </w:p>
        </w:tc>
        <w:tc>
          <w:tcPr>
            <w:tcW w:type="dxa" w:w="1728"/>
          </w:tcPr>
          <w:p>
            <w:r>
              <w:rPr>
                <w:sz w:val="18"/>
              </w:rPr>
              <w:t>27 / 27 / 20,822</w:t>
            </w:r>
          </w:p>
        </w:tc>
        <w:tc>
          <w:tcPr>
            <w:tcW w:type="dxa" w:w="1728"/>
          </w:tcPr>
          <w:p>
            <w:r>
              <w:rPr>
                <w:sz w:val="18"/>
              </w:rPr>
              <w:t>193 / 1,861 / 234,368</w:t>
            </w:r>
          </w:p>
        </w:tc>
      </w:tr>
      <w:tr>
        <w:tc>
          <w:tcPr>
            <w:tcW w:type="dxa" w:w="1728"/>
          </w:tcPr>
          <w:p>
            <w:r>
              <w:rPr>
                <w:sz w:val="18"/>
              </w:rPr>
              <w:t>S7–S8</w:t>
            </w:r>
          </w:p>
        </w:tc>
        <w:tc>
          <w:tcPr>
            <w:tcW w:type="dxa" w:w="1728"/>
          </w:tcPr>
          <w:p>
            <w:r>
              <w:rPr>
                <w:sz w:val="18"/>
              </w:rPr>
              <w:t>82 (42/40)</w:t>
            </w:r>
          </w:p>
        </w:tc>
        <w:tc>
          <w:tcPr>
            <w:tcW w:type="dxa" w:w="1728"/>
          </w:tcPr>
          <w:p>
            <w:r>
              <w:rPr>
                <w:sz w:val="18"/>
              </w:rPr>
              <w:t>173 (133/40)</w:t>
            </w:r>
          </w:p>
        </w:tc>
        <w:tc>
          <w:tcPr>
            <w:tcW w:type="dxa" w:w="1728"/>
          </w:tcPr>
          <w:p>
            <w:r>
              <w:rPr>
                <w:sz w:val="18"/>
              </w:rPr>
              <w:t>27 (12/15)</w:t>
            </w:r>
          </w:p>
        </w:tc>
        <w:tc>
          <w:tcPr>
            <w:tcW w:type="dxa" w:w="1728"/>
          </w:tcPr>
          <w:p>
            <w:r>
              <w:rPr>
                <w:sz w:val="18"/>
              </w:rPr>
              <w:t>193 (83/110)</w:t>
            </w:r>
          </w:p>
        </w:tc>
      </w:tr>
    </w:tbl>
    <w:p/>
    <w:p>
      <w:r>
        <w:rPr>
          <w:sz w:val="18"/>
        </w:rPr>
        <w:t>Notes. Counts are participants / sessions / digraphs remaining after each step; S7–S8 shows participants (PD/HC).</w:t>
      </w:r>
    </w:p>
    <w:p>
      <w:r>
        <w:rPr>
          <w:sz w:val="18"/>
        </w:rPr>
        <w:t>(1) Session counts up to S3 include sessions with no surviving digraphs; from S4, sessions are counted among the pooled digraphs (45 Online English sessions had no surviving digraphs).</w:t>
      </w:r>
    </w:p>
    <w:p>
      <w:r>
        <w:rPr>
          <w:sz w:val="18"/>
        </w:rPr>
        <w:t>(2) At S7, 29 participants without labels and 3 tremor-only participants were removed from the 205 Tappy survivors; a further 10 labelled Tappy participants never entered the pipeline because their records contained no parseable events (they are not included in the counts above).</w:t>
      </w:r>
    </w:p>
    <w:p>
      <w:r>
        <w:rPr>
          <w:sz w:val="18"/>
        </w:rPr>
        <w:t>(3) For TyPD, sessions are clinical visits (338 trials in total).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