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12CBF" w14:textId="77777777" w:rsidR="00E9033B" w:rsidRDefault="00DE3705" w:rsidP="00D16C42">
      <w:pPr>
        <w:jc w:val="both"/>
        <w:rPr>
          <w:rFonts w:ascii="黑体" w:eastAsia="黑体" w:hAnsi="黑体" w:hint="eastAsia"/>
          <w:sz w:val="32"/>
          <w:szCs w:val="32"/>
        </w:rPr>
      </w:pPr>
      <w:r w:rsidRPr="00DE3705">
        <w:rPr>
          <w:rFonts w:ascii="黑体" w:eastAsia="黑体" w:hAnsi="黑体" w:hint="eastAsia"/>
          <w:sz w:val="32"/>
          <w:szCs w:val="32"/>
        </w:rPr>
        <w:t>方法</w:t>
      </w:r>
    </w:p>
    <w:p w14:paraId="3E3E5C20" w14:textId="77777777" w:rsidR="00DE3705" w:rsidRDefault="00DE3705" w:rsidP="00D16C42">
      <w:pPr>
        <w:jc w:val="both"/>
        <w:rPr>
          <w:rFonts w:ascii="黑体" w:eastAsia="黑体" w:hAnsi="黑体" w:hint="eastAsia"/>
          <w:sz w:val="28"/>
          <w:szCs w:val="28"/>
        </w:rPr>
      </w:pPr>
      <w:r>
        <w:rPr>
          <w:rFonts w:ascii="黑体" w:eastAsia="黑体" w:hAnsi="黑体" w:hint="eastAsia"/>
          <w:sz w:val="28"/>
          <w:szCs w:val="28"/>
        </w:rPr>
        <w:t>研究设计</w:t>
      </w:r>
    </w:p>
    <w:p w14:paraId="79610F10" w14:textId="16E2F6DF" w:rsidR="00DE3705" w:rsidRPr="00235BB3" w:rsidRDefault="00DE3705" w:rsidP="00D16C42">
      <w:pPr>
        <w:jc w:val="both"/>
        <w:rPr>
          <w:rFonts w:ascii="黑体" w:eastAsia="黑体" w:hAnsi="黑体" w:hint="eastAsia"/>
          <w:sz w:val="24"/>
        </w:rPr>
      </w:pPr>
      <w:bookmarkStart w:id="0" w:name="OLE_LINK1"/>
      <w:r w:rsidRPr="00235BB3">
        <w:rPr>
          <w:rFonts w:ascii="宋体" w:eastAsia="宋体" w:hAnsi="宋体" w:hint="eastAsia"/>
          <w:sz w:val="24"/>
        </w:rPr>
        <w:t>本</w:t>
      </w:r>
      <w:bookmarkEnd w:id="0"/>
      <w:r w:rsidR="004D4824">
        <w:rPr>
          <w:rFonts w:ascii="宋体" w:eastAsia="宋体" w:hAnsi="宋体" w:hint="eastAsia"/>
          <w:sz w:val="24"/>
        </w:rPr>
        <w:t>研究</w:t>
      </w:r>
      <w:r w:rsidRPr="00235BB3">
        <w:rPr>
          <w:rFonts w:ascii="宋体" w:eastAsia="宋体" w:hAnsi="宋体" w:hint="eastAsia"/>
          <w:sz w:val="24"/>
        </w:rPr>
        <w:t>是一项回顾性分析，仅使用为研究用途发布的去标识化公开数据集</w:t>
      </w:r>
      <w:r w:rsidR="00E7165F">
        <w:rPr>
          <w:rFonts w:ascii="宋体" w:eastAsia="宋体" w:hAnsi="宋体" w:hint="eastAsia"/>
          <w:sz w:val="24"/>
        </w:rPr>
        <w:t>，</w:t>
      </w:r>
      <w:r w:rsidRPr="00235BB3">
        <w:rPr>
          <w:rFonts w:ascii="宋体" w:eastAsia="宋体" w:hAnsi="宋体" w:hint="eastAsia"/>
          <w:sz w:val="24"/>
        </w:rPr>
        <w:t>未收集新的人体数据，无任何干预。分析计划已在 Open Science Framework（OSF；https://osf.io/j9fvx）注册。该注册目前处于</w:t>
      </w:r>
      <w:r w:rsidR="009964FF">
        <w:rPr>
          <w:rFonts w:ascii="宋体" w:eastAsia="宋体" w:hAnsi="宋体" w:hint="eastAsia"/>
          <w:sz w:val="24"/>
        </w:rPr>
        <w:t>设定</w:t>
      </w:r>
      <w:r w:rsidRPr="00235BB3">
        <w:rPr>
          <w:rFonts w:ascii="宋体" w:eastAsia="宋体" w:hAnsi="宋体" w:hint="eastAsia"/>
          <w:sz w:val="24"/>
        </w:rPr>
        <w:t>的 embargo 期，同行评审期间可向审稿人提供只读访问。</w:t>
      </w:r>
    </w:p>
    <w:p w14:paraId="1B8BD80B" w14:textId="77777777" w:rsidR="00DE3705" w:rsidRDefault="00DE3705" w:rsidP="00D16C42">
      <w:pPr>
        <w:jc w:val="both"/>
        <w:rPr>
          <w:rFonts w:ascii="黑体" w:eastAsia="黑体" w:hAnsi="黑体" w:hint="eastAsia"/>
          <w:sz w:val="28"/>
          <w:szCs w:val="28"/>
        </w:rPr>
      </w:pPr>
      <w:bookmarkStart w:id="1" w:name="OLE_LINK2"/>
      <w:r>
        <w:rPr>
          <w:rFonts w:ascii="黑体" w:eastAsia="黑体" w:hAnsi="黑体" w:hint="eastAsia"/>
          <w:sz w:val="28"/>
          <w:szCs w:val="28"/>
        </w:rPr>
        <w:t>数据</w:t>
      </w:r>
      <w:bookmarkEnd w:id="1"/>
      <w:r>
        <w:rPr>
          <w:rFonts w:ascii="黑体" w:eastAsia="黑体" w:hAnsi="黑体" w:hint="eastAsia"/>
          <w:sz w:val="28"/>
          <w:szCs w:val="28"/>
        </w:rPr>
        <w:t>来源</w:t>
      </w:r>
    </w:p>
    <w:p w14:paraId="5EEBE1F4" w14:textId="11E85076" w:rsidR="00DE3705" w:rsidRPr="00235BB3" w:rsidRDefault="009E22A7" w:rsidP="00D16C42">
      <w:pPr>
        <w:jc w:val="both"/>
        <w:rPr>
          <w:rFonts w:ascii="宋体" w:eastAsia="宋体" w:hAnsi="宋体" w:hint="eastAsia"/>
          <w:sz w:val="24"/>
        </w:rPr>
      </w:pPr>
      <w:r w:rsidRPr="00235BB3">
        <w:rPr>
          <w:rFonts w:ascii="宋体" w:eastAsia="宋体" w:hAnsi="宋体"/>
          <w:sz w:val="24"/>
        </w:rPr>
        <w:t>使用</w:t>
      </w:r>
      <w:r w:rsidR="00C00B4A" w:rsidRPr="00235BB3">
        <w:rPr>
          <w:rFonts w:ascii="宋体" w:eastAsia="宋体" w:hAnsi="宋体" w:hint="eastAsia"/>
          <w:sz w:val="24"/>
        </w:rPr>
        <w:t>的数据来自</w:t>
      </w:r>
      <w:r w:rsidRPr="00235BB3">
        <w:rPr>
          <w:rFonts w:ascii="宋体" w:eastAsia="宋体" w:hAnsi="宋体"/>
          <w:sz w:val="24"/>
        </w:rPr>
        <w:t>四个公开的数据集：MIT-CSXPD</w:t>
      </w:r>
      <w:r w:rsidR="00C00B4A" w:rsidRPr="00235BB3">
        <w:rPr>
          <w:rFonts w:ascii="宋体" w:eastAsia="宋体" w:hAnsi="宋体" w:hint="eastAsia"/>
          <w:sz w:val="24"/>
        </w:rPr>
        <w:t>（</w:t>
      </w:r>
      <w:proofErr w:type="spellStart"/>
      <w:r w:rsidR="00C00B4A" w:rsidRPr="00235BB3">
        <w:rPr>
          <w:rFonts w:ascii="宋体" w:eastAsia="宋体" w:hAnsi="宋体"/>
          <w:sz w:val="24"/>
        </w:rPr>
        <w:t>neuroQWERTY</w:t>
      </w:r>
      <w:proofErr w:type="spellEnd"/>
      <w:r w:rsidR="00C00B4A" w:rsidRPr="00235BB3">
        <w:rPr>
          <w:rFonts w:ascii="宋体" w:eastAsia="宋体" w:hAnsi="宋体"/>
          <w:sz w:val="24"/>
        </w:rPr>
        <w:t xml:space="preserve"> 项目；PhysioNet，</w:t>
      </w:r>
      <w:proofErr w:type="spellStart"/>
      <w:r w:rsidR="00C00B4A" w:rsidRPr="00235BB3">
        <w:rPr>
          <w:rFonts w:ascii="宋体" w:eastAsia="宋体" w:hAnsi="宋体"/>
          <w:sz w:val="24"/>
        </w:rPr>
        <w:t>nqmitcsxpd</w:t>
      </w:r>
      <w:proofErr w:type="spellEnd"/>
      <w:r w:rsidR="00C00B4A" w:rsidRPr="00235BB3">
        <w:rPr>
          <w:rFonts w:ascii="宋体" w:eastAsia="宋体" w:hAnsi="宋体"/>
          <w:sz w:val="24"/>
        </w:rPr>
        <w:t xml:space="preserve"> v1.0.0</w:t>
      </w:r>
      <w:r w:rsidR="00C00B4A" w:rsidRPr="00235BB3">
        <w:rPr>
          <w:rFonts w:ascii="宋体" w:eastAsia="宋体" w:hAnsi="宋体" w:hint="eastAsia"/>
          <w:sz w:val="24"/>
        </w:rPr>
        <w:t>）</w:t>
      </w:r>
      <w:r w:rsidRPr="00235BB3">
        <w:rPr>
          <w:rFonts w:ascii="宋体" w:eastAsia="宋体" w:hAnsi="宋体"/>
          <w:sz w:val="24"/>
        </w:rPr>
        <w:t>、Tappy Keplar</w:t>
      </w:r>
      <w:r w:rsidR="00C00B4A" w:rsidRPr="00235BB3">
        <w:rPr>
          <w:rFonts w:ascii="宋体" w:eastAsia="宋体" w:hAnsi="宋体" w:hint="eastAsia"/>
          <w:sz w:val="24"/>
        </w:rPr>
        <w:t>（</w:t>
      </w:r>
      <w:r w:rsidR="00C00B4A" w:rsidRPr="00235BB3">
        <w:rPr>
          <w:rFonts w:ascii="宋体" w:eastAsia="宋体" w:hAnsi="宋体"/>
          <w:sz w:val="24"/>
        </w:rPr>
        <w:t>PhysioNet，tappy v1.0.0</w:t>
      </w:r>
      <w:r w:rsidR="00C00B4A" w:rsidRPr="00235BB3">
        <w:rPr>
          <w:rFonts w:ascii="宋体" w:eastAsia="宋体" w:hAnsi="宋体" w:hint="eastAsia"/>
          <w:sz w:val="24"/>
        </w:rPr>
        <w:t>）</w:t>
      </w:r>
      <w:r w:rsidRPr="00235BB3">
        <w:rPr>
          <w:rFonts w:ascii="宋体" w:eastAsia="宋体" w:hAnsi="宋体"/>
          <w:sz w:val="24"/>
        </w:rPr>
        <w:t>、</w:t>
      </w:r>
      <w:proofErr w:type="spellStart"/>
      <w:r w:rsidRPr="00235BB3">
        <w:rPr>
          <w:rFonts w:ascii="宋体" w:eastAsia="宋体" w:hAnsi="宋体"/>
          <w:sz w:val="24"/>
        </w:rPr>
        <w:t>TyPD</w:t>
      </w:r>
      <w:proofErr w:type="spellEnd"/>
      <w:r w:rsidRPr="00235BB3">
        <w:rPr>
          <w:rFonts w:ascii="宋体" w:eastAsia="宋体" w:hAnsi="宋体"/>
          <w:sz w:val="24"/>
        </w:rPr>
        <w:t>（</w:t>
      </w:r>
      <w:proofErr w:type="spellStart"/>
      <w:r w:rsidRPr="00235BB3">
        <w:rPr>
          <w:rFonts w:ascii="宋体" w:eastAsia="宋体" w:hAnsi="宋体"/>
          <w:sz w:val="24"/>
        </w:rPr>
        <w:t>i</w:t>
      </w:r>
      <w:proofErr w:type="spellEnd"/>
      <w:r w:rsidRPr="00235BB3">
        <w:rPr>
          <w:rFonts w:ascii="宋体" w:eastAsia="宋体" w:hAnsi="宋体"/>
          <w:sz w:val="24"/>
        </w:rPr>
        <w:t>-PROGNOSIS</w:t>
      </w:r>
      <w:r w:rsidR="00C00B4A" w:rsidRPr="00235BB3">
        <w:rPr>
          <w:rFonts w:ascii="宋体" w:eastAsia="宋体" w:hAnsi="宋体"/>
          <w:sz w:val="24"/>
        </w:rPr>
        <w:t>项目，DS2.5；</w:t>
      </w:r>
      <w:proofErr w:type="spellStart"/>
      <w:r w:rsidR="00C00B4A" w:rsidRPr="00235BB3">
        <w:rPr>
          <w:rFonts w:ascii="宋体" w:eastAsia="宋体" w:hAnsi="宋体"/>
          <w:sz w:val="24"/>
        </w:rPr>
        <w:t>Zenodo</w:t>
      </w:r>
      <w:proofErr w:type="spellEnd"/>
      <w:r w:rsidR="00C00B4A" w:rsidRPr="00235BB3">
        <w:rPr>
          <w:rFonts w:ascii="宋体" w:eastAsia="宋体" w:hAnsi="宋体"/>
          <w:sz w:val="24"/>
        </w:rPr>
        <w:t xml:space="preserve"> record 2571623</w:t>
      </w:r>
      <w:r w:rsidRPr="00235BB3">
        <w:rPr>
          <w:rFonts w:ascii="宋体" w:eastAsia="宋体" w:hAnsi="宋体"/>
          <w:sz w:val="24"/>
        </w:rPr>
        <w:t>）和 Online English（OE</w:t>
      </w:r>
      <w:r w:rsidR="00C00B4A" w:rsidRPr="00235BB3">
        <w:rPr>
          <w:rFonts w:ascii="宋体" w:eastAsia="宋体" w:hAnsi="宋体"/>
          <w:sz w:val="24"/>
        </w:rPr>
        <w:t xml:space="preserve">；OSF </w:t>
      </w:r>
      <w:r w:rsidR="001D1FEC" w:rsidRPr="00235BB3">
        <w:rPr>
          <w:rFonts w:ascii="宋体" w:eastAsia="宋体" w:hAnsi="宋体" w:hint="eastAsia"/>
          <w:sz w:val="24"/>
        </w:rPr>
        <w:t>仓库</w:t>
      </w:r>
      <w:r w:rsidR="001D1FEC" w:rsidRPr="00235BB3">
        <w:rPr>
          <w:rFonts w:ascii="宋体" w:eastAsia="宋体" w:hAnsi="宋体"/>
          <w:sz w:val="24"/>
        </w:rPr>
        <w:t>ew34b</w:t>
      </w:r>
      <w:r w:rsidRPr="00235BB3">
        <w:rPr>
          <w:rFonts w:ascii="宋体" w:eastAsia="宋体" w:hAnsi="宋体"/>
          <w:sz w:val="24"/>
        </w:rPr>
        <w:t xml:space="preserve">）。这些数据集在诊断信息来源、打字平台、设备与任务设计上存在异质性：MIT-CSXPD 和 </w:t>
      </w:r>
      <w:proofErr w:type="spellStart"/>
      <w:r w:rsidRPr="00235BB3">
        <w:rPr>
          <w:rFonts w:ascii="宋体" w:eastAsia="宋体" w:hAnsi="宋体"/>
          <w:sz w:val="24"/>
        </w:rPr>
        <w:t>TyPD</w:t>
      </w:r>
      <w:proofErr w:type="spellEnd"/>
      <w:r w:rsidRPr="00235BB3">
        <w:rPr>
          <w:rFonts w:ascii="宋体" w:eastAsia="宋体" w:hAnsi="宋体"/>
          <w:sz w:val="24"/>
        </w:rPr>
        <w:t xml:space="preserve"> 提供临床诊断标签，Tappy Keplar 和 OE 采用自报诊断标签</w:t>
      </w:r>
      <w:r w:rsidR="00E7165F">
        <w:rPr>
          <w:rFonts w:ascii="宋体" w:eastAsia="宋体" w:hAnsi="宋体" w:hint="eastAsia"/>
          <w:sz w:val="24"/>
        </w:rPr>
        <w:t>，</w:t>
      </w:r>
      <w:r w:rsidRPr="00235BB3">
        <w:rPr>
          <w:rFonts w:ascii="宋体" w:eastAsia="宋体" w:hAnsi="宋体"/>
          <w:sz w:val="24"/>
        </w:rPr>
        <w:t>采集场景涵盖临床、个人设备与网页端。</w:t>
      </w:r>
    </w:p>
    <w:p w14:paraId="1A48442E" w14:textId="77777777" w:rsidR="00F83BE4" w:rsidRDefault="00235BB3" w:rsidP="00D16C42">
      <w:pPr>
        <w:jc w:val="both"/>
        <w:rPr>
          <w:rFonts w:ascii="黑体" w:eastAsia="黑体" w:hAnsi="黑体" w:hint="eastAsia"/>
          <w:sz w:val="28"/>
          <w:szCs w:val="28"/>
        </w:rPr>
      </w:pPr>
      <w:bookmarkStart w:id="2" w:name="OLE_LINK3"/>
      <w:r>
        <w:rPr>
          <w:rFonts w:ascii="黑体" w:eastAsia="黑体" w:hAnsi="黑体" w:hint="eastAsia"/>
          <w:sz w:val="28"/>
          <w:szCs w:val="28"/>
        </w:rPr>
        <w:t>队列构建与数据清洗</w:t>
      </w:r>
    </w:p>
    <w:p w14:paraId="616C59D2" w14:textId="076CA2FA" w:rsidR="00D630B6" w:rsidRDefault="00F909BD" w:rsidP="00D16C42">
      <w:pPr>
        <w:jc w:val="both"/>
        <w:rPr>
          <w:rFonts w:ascii="宋体" w:eastAsia="宋体" w:hAnsi="宋体" w:hint="eastAsia"/>
          <w:sz w:val="24"/>
        </w:rPr>
      </w:pPr>
      <w:r>
        <w:rPr>
          <w:rFonts w:ascii="宋体" w:eastAsia="宋体" w:hAnsi="宋体"/>
          <w:sz w:val="24"/>
        </w:rPr>
        <w:t>所有分析指标均以digraph（连续两次击键构成的有序动作对）为基本计算单元。数据清洗全程不参考受试者的诊断标签，仅依据打字数据本身的质量进行筛选。首先从原始按键记录中提取digraph，仅保留解析校验通过、按下与释放时间戳完整的有效事件；对所有数据集应用统一的按键持续时长与击键间隔阈值以剔除异常数据，并在此基础上针对采用固定抄写任务的三个数据集增加预设的任务特异性规则。其次，将一段连续打字定义为一个会话（session），制定各数据集的会话划分标准</w:t>
      </w:r>
      <w:r w:rsidR="00A23A67">
        <w:rPr>
          <w:rFonts w:ascii="宋体" w:eastAsia="宋体" w:hAnsi="宋体" w:hint="eastAsia"/>
          <w:sz w:val="24"/>
        </w:rPr>
        <w:t>。</w:t>
      </w:r>
      <w:r>
        <w:rPr>
          <w:rFonts w:ascii="宋体" w:eastAsia="宋体" w:hAnsi="宋体"/>
          <w:sz w:val="24"/>
        </w:rPr>
        <w:t>MIT 临床数据集仅保留受试者首次访视内的会话，防止重复纳入分析。最后汇总每位受试者所有有效digraph，排除digraph&lt;300的受试者。三名仅报告震颤但无 PD诊断的Tappy 受试者，因自报信息无法明确归类，在主分析中排除</w:t>
      </w:r>
      <w:r w:rsidR="00774CD3">
        <w:rPr>
          <w:rFonts w:ascii="宋体" w:eastAsia="宋体" w:hAnsi="宋体" w:hint="eastAsia"/>
          <w:sz w:val="24"/>
        </w:rPr>
        <w:t>，</w:t>
      </w:r>
      <w:r>
        <w:rPr>
          <w:rFonts w:ascii="宋体" w:eastAsia="宋体" w:hAnsi="宋体"/>
          <w:sz w:val="24"/>
        </w:rPr>
        <w:t>后续分析中分别将其归入两类，以验证结果的稳健性。具体过滤规则与各步骤样本淘汰数量见补充材料S1。</w:t>
      </w:r>
    </w:p>
    <w:p w14:paraId="14BEC793" w14:textId="77777777" w:rsidR="005431EC" w:rsidRDefault="005431EC" w:rsidP="00D16C42">
      <w:pPr>
        <w:jc w:val="both"/>
        <w:rPr>
          <w:rFonts w:ascii="宋体" w:eastAsia="宋体" w:hAnsi="宋体" w:hint="eastAsia"/>
          <w:sz w:val="24"/>
        </w:rPr>
      </w:pPr>
      <w:r>
        <w:rPr>
          <w:rFonts w:ascii="宋体" w:eastAsia="宋体" w:hAnsi="宋体" w:hint="eastAsia"/>
          <w:sz w:val="24"/>
        </w:rPr>
        <w:t>经筛选后，最终分析队列共475人，其中PD</w:t>
      </w:r>
      <w:r w:rsidR="00F523D5">
        <w:rPr>
          <w:rFonts w:ascii="宋体" w:eastAsia="宋体" w:hAnsi="宋体" w:hint="eastAsia"/>
          <w:sz w:val="24"/>
        </w:rPr>
        <w:t xml:space="preserve"> </w:t>
      </w:r>
      <w:r>
        <w:rPr>
          <w:rFonts w:ascii="宋体" w:eastAsia="宋体" w:hAnsi="宋体" w:hint="eastAsia"/>
          <w:sz w:val="24"/>
        </w:rPr>
        <w:t>270人，健康对照（HC）205人，详细队列构成见表1</w:t>
      </w:r>
    </w:p>
    <w:bookmarkEnd w:id="2"/>
    <w:p w14:paraId="75FB16A9" w14:textId="77777777" w:rsidR="00D630B6" w:rsidRDefault="00D630B6" w:rsidP="00D16C42">
      <w:pPr>
        <w:jc w:val="both"/>
        <w:rPr>
          <w:rFonts w:ascii="黑体" w:eastAsia="黑体" w:hAnsi="黑体" w:hint="eastAsia"/>
          <w:sz w:val="28"/>
          <w:szCs w:val="28"/>
        </w:rPr>
      </w:pPr>
      <w:r>
        <w:rPr>
          <w:rFonts w:ascii="黑体" w:eastAsia="黑体" w:hAnsi="黑体" w:hint="eastAsia"/>
          <w:sz w:val="28"/>
          <w:szCs w:val="28"/>
        </w:rPr>
        <w:t>特征构建与预测模型</w:t>
      </w:r>
    </w:p>
    <w:p w14:paraId="3CA13D71" w14:textId="77777777" w:rsidR="00D83E93" w:rsidRDefault="00D83E93" w:rsidP="00D16C42">
      <w:pPr>
        <w:jc w:val="both"/>
        <w:rPr>
          <w:rFonts w:ascii="宋体" w:eastAsia="宋体" w:hAnsi="宋体" w:hint="eastAsia"/>
          <w:sz w:val="24"/>
        </w:rPr>
      </w:pPr>
      <w:r>
        <w:rPr>
          <w:rFonts w:ascii="宋体" w:eastAsia="宋体" w:hAnsi="宋体" w:hint="eastAsia"/>
          <w:sz w:val="24"/>
        </w:rPr>
        <w:t>所有特征均在受试者层面聚合：将每位受试者的全部有效digraph汇总计算。特征按照三个复杂度档位构建：L1对所有hold</w:t>
      </w:r>
      <w:r w:rsidR="00115761">
        <w:rPr>
          <w:rFonts w:ascii="宋体" w:eastAsia="宋体" w:hAnsi="宋体"/>
          <w:sz w:val="24"/>
        </w:rPr>
        <w:t>（持续按下）</w:t>
      </w:r>
      <w:r>
        <w:rPr>
          <w:rFonts w:ascii="宋体" w:eastAsia="宋体" w:hAnsi="宋体" w:hint="eastAsia"/>
          <w:sz w:val="24"/>
        </w:rPr>
        <w:t>、latency</w:t>
      </w:r>
      <w:r w:rsidR="00E7277C">
        <w:rPr>
          <w:rFonts w:ascii="宋体" w:eastAsia="宋体" w:hAnsi="宋体" w:hint="eastAsia"/>
          <w:sz w:val="24"/>
        </w:rPr>
        <w:t>（上次释放至本次按下）</w:t>
      </w:r>
      <w:r>
        <w:rPr>
          <w:rFonts w:ascii="宋体" w:eastAsia="宋体" w:hAnsi="宋体" w:hint="eastAsia"/>
          <w:sz w:val="24"/>
        </w:rPr>
        <w:t>、f</w:t>
      </w:r>
      <w:r w:rsidR="00350FE6">
        <w:rPr>
          <w:rFonts w:ascii="宋体" w:eastAsia="宋体" w:hAnsi="宋体" w:hint="eastAsia"/>
          <w:sz w:val="24"/>
        </w:rPr>
        <w:t>l</w:t>
      </w:r>
      <w:r>
        <w:rPr>
          <w:rFonts w:ascii="宋体" w:eastAsia="宋体" w:hAnsi="宋体" w:hint="eastAsia"/>
          <w:sz w:val="24"/>
        </w:rPr>
        <w:t>ight</w:t>
      </w:r>
      <w:r w:rsidR="00E7277C">
        <w:rPr>
          <w:rFonts w:ascii="宋体" w:eastAsia="宋体" w:hAnsi="宋体" w:hint="eastAsia"/>
          <w:sz w:val="24"/>
        </w:rPr>
        <w:t>（两次按下间隔）</w:t>
      </w:r>
      <w:r>
        <w:rPr>
          <w:rFonts w:ascii="宋体" w:eastAsia="宋体" w:hAnsi="宋体" w:hint="eastAsia"/>
          <w:sz w:val="24"/>
        </w:rPr>
        <w:t>三个时间指标计算</w:t>
      </w:r>
      <w:r w:rsidR="00350FE6">
        <w:rPr>
          <w:rFonts w:ascii="宋体" w:eastAsia="宋体" w:hAnsi="宋体" w:hint="eastAsia"/>
          <w:sz w:val="24"/>
        </w:rPr>
        <w:t>分布</w:t>
      </w:r>
      <w:r>
        <w:rPr>
          <w:rFonts w:ascii="宋体" w:eastAsia="宋体" w:hAnsi="宋体" w:hint="eastAsia"/>
          <w:sz w:val="24"/>
        </w:rPr>
        <w:t>统计量</w:t>
      </w:r>
      <w:r w:rsidR="00933938">
        <w:rPr>
          <w:rFonts w:ascii="宋体" w:eastAsia="宋体" w:hAnsi="宋体" w:hint="eastAsia"/>
          <w:sz w:val="24"/>
        </w:rPr>
        <w:t>（</w:t>
      </w:r>
      <w:r>
        <w:rPr>
          <w:rFonts w:ascii="宋体" w:eastAsia="宋体" w:hAnsi="宋体" w:hint="eastAsia"/>
          <w:sz w:val="24"/>
        </w:rPr>
        <w:t>均值、</w:t>
      </w:r>
      <w:r>
        <w:rPr>
          <w:rFonts w:ascii="宋体" w:eastAsia="宋体" w:hAnsi="宋体" w:hint="eastAsia"/>
          <w:sz w:val="24"/>
        </w:rPr>
        <w:lastRenderedPageBreak/>
        <w:t>中位数、标准差、第10百分位、第90百分位</w:t>
      </w:r>
      <w:r w:rsidR="00933938">
        <w:rPr>
          <w:rFonts w:ascii="宋体" w:eastAsia="宋体" w:hAnsi="宋体" w:hint="eastAsia"/>
          <w:sz w:val="24"/>
        </w:rPr>
        <w:t>），</w:t>
      </w:r>
      <w:r>
        <w:rPr>
          <w:rFonts w:ascii="宋体" w:eastAsia="宋体" w:hAnsi="宋体" w:hint="eastAsia"/>
          <w:sz w:val="24"/>
        </w:rPr>
        <w:t>共15个特征</w:t>
      </w:r>
      <w:r w:rsidR="00933938">
        <w:rPr>
          <w:rFonts w:ascii="宋体" w:eastAsia="宋体" w:hAnsi="宋体" w:hint="eastAsia"/>
          <w:sz w:val="24"/>
        </w:rPr>
        <w:t>，全部数据集可用</w:t>
      </w:r>
      <w:r w:rsidR="00113239">
        <w:rPr>
          <w:rFonts w:ascii="宋体" w:eastAsia="宋体" w:hAnsi="宋体" w:hint="eastAsia"/>
          <w:sz w:val="24"/>
        </w:rPr>
        <w:t>；</w:t>
      </w:r>
      <w:r>
        <w:rPr>
          <w:rFonts w:ascii="宋体" w:eastAsia="宋体" w:hAnsi="宋体" w:hint="eastAsia"/>
          <w:sz w:val="24"/>
        </w:rPr>
        <w:t>L2在L1的基础上</w:t>
      </w:r>
      <w:r w:rsidR="00115761">
        <w:rPr>
          <w:rFonts w:ascii="宋体" w:eastAsia="宋体" w:hAnsi="宋体" w:hint="eastAsia"/>
          <w:sz w:val="24"/>
        </w:rPr>
        <w:t>增加</w:t>
      </w:r>
      <w:r>
        <w:rPr>
          <w:rFonts w:ascii="宋体" w:eastAsia="宋体" w:hAnsi="宋体" w:hint="eastAsia"/>
          <w:sz w:val="24"/>
        </w:rPr>
        <w:t>左</w:t>
      </w:r>
      <w:r w:rsidR="00543AE5">
        <w:rPr>
          <w:rFonts w:ascii="宋体" w:eastAsia="宋体" w:hAnsi="宋体" w:hint="eastAsia"/>
          <w:sz w:val="24"/>
        </w:rPr>
        <w:t>/</w:t>
      </w:r>
      <w:r>
        <w:rPr>
          <w:rFonts w:ascii="宋体" w:eastAsia="宋体" w:hAnsi="宋体" w:hint="eastAsia"/>
          <w:sz w:val="24"/>
        </w:rPr>
        <w:t>右手</w:t>
      </w:r>
      <w:r w:rsidR="00115761">
        <w:rPr>
          <w:rFonts w:ascii="宋体" w:eastAsia="宋体" w:hAnsi="宋体" w:hint="eastAsia"/>
          <w:sz w:val="24"/>
        </w:rPr>
        <w:t>条件的均值特征</w:t>
      </w:r>
      <w:r w:rsidR="00113239">
        <w:rPr>
          <w:rFonts w:ascii="宋体" w:eastAsia="宋体" w:hAnsi="宋体" w:hint="eastAsia"/>
          <w:sz w:val="24"/>
        </w:rPr>
        <w:t>，仅MIT、Tappy与OE支持；L3按</w:t>
      </w:r>
      <w:r w:rsidR="00543AE5">
        <w:rPr>
          <w:rFonts w:ascii="宋体" w:eastAsia="宋体" w:hAnsi="宋体" w:hint="eastAsia"/>
          <w:sz w:val="24"/>
        </w:rPr>
        <w:t>相邻digraph间的</w:t>
      </w:r>
      <w:r w:rsidR="00E17B0A">
        <w:rPr>
          <w:rFonts w:ascii="宋体" w:eastAsia="宋体" w:hAnsi="宋体" w:hint="eastAsia"/>
          <w:sz w:val="24"/>
        </w:rPr>
        <w:t>手别转移类型聚合latency与flight均值并计入跨手比例</w:t>
      </w:r>
      <w:r w:rsidR="00113239">
        <w:rPr>
          <w:rFonts w:ascii="宋体" w:eastAsia="宋体" w:hAnsi="宋体" w:hint="eastAsia"/>
          <w:sz w:val="24"/>
        </w:rPr>
        <w:t>，仅MIT与OE支持该档位。</w:t>
      </w:r>
      <w:r w:rsidR="00A503FC">
        <w:rPr>
          <w:rFonts w:ascii="宋体" w:eastAsia="宋体" w:hAnsi="宋体" w:hint="eastAsia"/>
          <w:sz w:val="24"/>
        </w:rPr>
        <w:t>每个迁移方向使用源与目标数据集共同支持的最高档位，按特征档位分层的结果作为敏感性分析报告。</w:t>
      </w:r>
    </w:p>
    <w:p w14:paraId="10BEEF32" w14:textId="6971ECF2" w:rsidR="00113239" w:rsidRPr="00E772B4" w:rsidRDefault="00E772B4" w:rsidP="00D16C42">
      <w:pPr>
        <w:jc w:val="both"/>
        <w:rPr>
          <w:rFonts w:ascii="宋体" w:eastAsia="宋体" w:hAnsi="宋体" w:hint="eastAsia"/>
          <w:sz w:val="24"/>
        </w:rPr>
      </w:pPr>
      <w:r w:rsidRPr="00E772B4">
        <w:rPr>
          <w:rFonts w:ascii="宋体" w:eastAsia="宋体" w:hAnsi="宋体"/>
          <w:sz w:val="24"/>
        </w:rPr>
        <w:t xml:space="preserve">原定主模型为 </w:t>
      </w:r>
      <w:proofErr w:type="spellStart"/>
      <w:r w:rsidRPr="00E772B4">
        <w:rPr>
          <w:rFonts w:ascii="宋体" w:eastAsia="宋体" w:hAnsi="宋体"/>
          <w:sz w:val="24"/>
        </w:rPr>
        <w:t>LightGBM</w:t>
      </w:r>
      <w:proofErr w:type="spellEnd"/>
      <w:r w:rsidRPr="00E772B4">
        <w:rPr>
          <w:rFonts w:ascii="宋体" w:eastAsia="宋体" w:hAnsi="宋体"/>
          <w:sz w:val="24"/>
        </w:rPr>
        <w:t>。模型验收在 MIT 源域内部完成：以50个种子下源域内部划分的平均测试 AUC 对照预设验收区间（0.75–0.91），全部评估先于任何目标数据接触</w:t>
      </w:r>
      <w:r w:rsidR="00FE6A0A">
        <w:rPr>
          <w:rFonts w:ascii="宋体" w:eastAsia="宋体" w:hAnsi="宋体" w:hint="eastAsia"/>
          <w:sz w:val="24"/>
        </w:rPr>
        <w:t>。</w:t>
      </w:r>
      <w:r w:rsidRPr="00E772B4">
        <w:rPr>
          <w:rFonts w:ascii="宋体" w:eastAsia="宋体" w:hAnsi="宋体"/>
          <w:sz w:val="24"/>
        </w:rPr>
        <w:t>该评估同时承担模型验收决策，相应测试划分构成预注册的源域验收集，而非完全未参与决策的独立检验集。按照预注册协议，若原定模型未达到验收标准，则改用预先指定的备选模型</w:t>
      </w:r>
      <w:r w:rsidR="00FE6A0A">
        <w:rPr>
          <w:rFonts w:ascii="宋体" w:eastAsia="宋体" w:hAnsi="宋体" w:hint="eastAsia"/>
          <w:sz w:val="24"/>
        </w:rPr>
        <w:t>。</w:t>
      </w:r>
      <w:r w:rsidRPr="00E772B4">
        <w:rPr>
          <w:rFonts w:ascii="宋体" w:eastAsia="宋体" w:hAnsi="宋体"/>
          <w:sz w:val="24"/>
        </w:rPr>
        <w:t>经协议修订（CHG-P1）后，</w:t>
      </w:r>
      <w:r w:rsidRPr="00E772B4">
        <w:rPr>
          <w:rFonts w:ascii="Cambria Math" w:eastAsia="宋体" w:hAnsi="Cambria Math" w:cs="Cambria Math"/>
          <w:sz w:val="24"/>
        </w:rPr>
        <w:t>ℓ</w:t>
      </w:r>
      <w:r w:rsidRPr="00E772B4">
        <w:rPr>
          <w:rFonts w:ascii="宋体" w:eastAsia="宋体" w:hAnsi="宋体"/>
          <w:sz w:val="24"/>
        </w:rPr>
        <w:t>2正则化逻辑回归（特征标准化仅在训练集内完成）设为主模型，</w:t>
      </w:r>
      <w:proofErr w:type="spellStart"/>
      <w:r w:rsidRPr="00E772B4">
        <w:rPr>
          <w:rFonts w:ascii="宋体" w:eastAsia="宋体" w:hAnsi="宋体"/>
          <w:sz w:val="24"/>
        </w:rPr>
        <w:t>LightGBM</w:t>
      </w:r>
      <w:proofErr w:type="spellEnd"/>
      <w:r w:rsidRPr="00E772B4">
        <w:rPr>
          <w:rFonts w:ascii="宋体" w:eastAsia="宋体" w:hAnsi="宋体"/>
          <w:sz w:val="24"/>
        </w:rPr>
        <w:t xml:space="preserve"> 以预设浅树配置（最大深度3；最小叶子样本数为训练集的四分之一）作为对照模型，未再调整参数。全部超参数在获取目标数据前固定，目标数据未用于模型选择。</w:t>
      </w:r>
    </w:p>
    <w:p w14:paraId="07EB0E29" w14:textId="77777777" w:rsidR="00D630B6" w:rsidRDefault="00D630B6" w:rsidP="00D16C42">
      <w:pPr>
        <w:jc w:val="both"/>
        <w:rPr>
          <w:rFonts w:ascii="黑体" w:eastAsia="黑体" w:hAnsi="黑体" w:hint="eastAsia"/>
          <w:sz w:val="28"/>
          <w:szCs w:val="28"/>
        </w:rPr>
      </w:pPr>
      <w:r>
        <w:rPr>
          <w:rFonts w:ascii="黑体" w:eastAsia="黑体" w:hAnsi="黑体" w:hint="eastAsia"/>
          <w:sz w:val="28"/>
          <w:szCs w:val="28"/>
        </w:rPr>
        <w:t>共形预测框架</w:t>
      </w:r>
    </w:p>
    <w:p w14:paraId="5F8AE8D3" w14:textId="2FCDACC7" w:rsidR="0070495B" w:rsidRDefault="00D539DC" w:rsidP="00D16C42">
      <w:pPr>
        <w:jc w:val="both"/>
        <w:rPr>
          <w:rFonts w:ascii="宋体" w:eastAsia="宋体" w:hAnsi="宋体" w:hint="eastAsia"/>
          <w:sz w:val="24"/>
        </w:rPr>
      </w:pPr>
      <w:r w:rsidRPr="00D539DC">
        <w:rPr>
          <w:rFonts w:ascii="宋体" w:eastAsia="宋体" w:hAnsi="宋体"/>
          <w:sz w:val="24"/>
        </w:rPr>
        <w:t>采用拆分共形预测（</w:t>
      </w:r>
      <w:r w:rsidR="00E7277C">
        <w:rPr>
          <w:rFonts w:ascii="宋体" w:eastAsia="宋体" w:hAnsi="宋体" w:hint="eastAsia"/>
          <w:sz w:val="24"/>
        </w:rPr>
        <w:t>S</w:t>
      </w:r>
      <w:r w:rsidRPr="00D539DC">
        <w:rPr>
          <w:rFonts w:ascii="宋体" w:eastAsia="宋体" w:hAnsi="宋体"/>
          <w:sz w:val="24"/>
        </w:rPr>
        <w:t>plit conformal prediction, Split CP）作为覆盖率审计框架</w:t>
      </w:r>
      <w:r w:rsidR="0070495B">
        <w:rPr>
          <w:rFonts w:ascii="宋体" w:eastAsia="宋体" w:hAnsi="宋体" w:hint="eastAsia"/>
          <w:sz w:val="24"/>
        </w:rPr>
        <w:t>，</w:t>
      </w:r>
      <w:r>
        <w:rPr>
          <w:rFonts w:ascii="宋体" w:eastAsia="宋体" w:hAnsi="宋体" w:hint="eastAsia"/>
          <w:sz w:val="24"/>
        </w:rPr>
        <w:t>以</w:t>
      </w:r>
      <w:r w:rsidR="0070495B" w:rsidRPr="0070495B">
        <w:rPr>
          <w:rFonts w:ascii="宋体" w:eastAsia="宋体" w:hAnsi="宋体"/>
          <w:sz w:val="24"/>
        </w:rPr>
        <w:t>least-ambiguous classification</w:t>
      </w:r>
      <w:r w:rsidR="0070495B">
        <w:rPr>
          <w:rFonts w:ascii="宋体" w:eastAsia="宋体" w:hAnsi="宋体" w:hint="eastAsia"/>
          <w:sz w:val="24"/>
        </w:rPr>
        <w:t>（LAC）作为非一致性评分，定义为</w:t>
      </w:r>
      <m:oMath>
        <m:r>
          <w:rPr>
            <w:rFonts w:ascii="Cambria Math" w:eastAsia="宋体" w:hAnsi="Cambria Math"/>
            <w:sz w:val="24"/>
          </w:rPr>
          <m:t>s</m:t>
        </m:r>
        <m:d>
          <m:dPr>
            <m:ctrlPr>
              <w:rPr>
                <w:rFonts w:ascii="Cambria Math" w:eastAsia="宋体" w:hAnsi="Cambria Math"/>
                <w:sz w:val="24"/>
              </w:rPr>
            </m:ctrlPr>
          </m:dPr>
          <m:e>
            <m:r>
              <w:rPr>
                <w:rFonts w:ascii="Cambria Math" w:eastAsia="宋体" w:hAnsi="Cambria Math"/>
                <w:sz w:val="24"/>
              </w:rPr>
              <m:t>x,y</m:t>
            </m:r>
          </m:e>
        </m:d>
        <m:r>
          <w:rPr>
            <w:rFonts w:ascii="Cambria Math" w:eastAsia="宋体" w:hAnsi="Cambria Math"/>
            <w:sz w:val="24"/>
          </w:rPr>
          <m:t>=1-</m:t>
        </m:r>
        <m:acc>
          <m:accPr>
            <m:chr m:val="ˆ"/>
            <m:ctrlPr>
              <w:rPr>
                <w:rFonts w:ascii="Cambria Math" w:eastAsia="宋体" w:hAnsi="Cambria Math"/>
                <w:sz w:val="24"/>
              </w:rPr>
            </m:ctrlPr>
          </m:accPr>
          <m:e>
            <m:r>
              <w:rPr>
                <w:rFonts w:ascii="Cambria Math" w:eastAsia="宋体" w:hAnsi="Cambria Math"/>
                <w:sz w:val="24"/>
              </w:rPr>
              <m:t>p</m:t>
            </m:r>
          </m:e>
        </m:acc>
        <m:d>
          <m:dPr>
            <m:ctrlPr>
              <w:rPr>
                <w:rFonts w:ascii="Cambria Math" w:eastAsia="宋体" w:hAnsi="Cambria Math"/>
                <w:sz w:val="24"/>
              </w:rPr>
            </m:ctrlPr>
          </m:dPr>
          <m:e>
            <m:r>
              <w:rPr>
                <w:rFonts w:ascii="Cambria Math" w:eastAsia="宋体" w:hAnsi="Cambria Math"/>
                <w:sz w:val="24"/>
              </w:rPr>
              <m:t>y|x</m:t>
            </m:r>
          </m:e>
        </m:d>
      </m:oMath>
      <w:r w:rsidR="0070495B">
        <w:rPr>
          <w:rFonts w:ascii="宋体" w:eastAsia="宋体" w:hAnsi="宋体" w:hint="eastAsia"/>
          <w:sz w:val="24"/>
        </w:rPr>
        <w:t>：模型对真实标签的预测概率越低，</w:t>
      </w:r>
      <w:r w:rsidR="00FB2F0D">
        <w:rPr>
          <w:rFonts w:ascii="宋体" w:eastAsia="宋体" w:hAnsi="宋体" w:hint="eastAsia"/>
          <w:sz w:val="24"/>
        </w:rPr>
        <w:t>LAC</w:t>
      </w:r>
      <w:r w:rsidR="0070495B">
        <w:rPr>
          <w:rFonts w:ascii="宋体" w:eastAsia="宋体" w:hAnsi="宋体" w:hint="eastAsia"/>
          <w:sz w:val="24"/>
        </w:rPr>
        <w:t>越高，</w:t>
      </w:r>
      <w:r w:rsidR="005E2D76">
        <w:rPr>
          <w:rFonts w:ascii="宋体" w:eastAsia="宋体" w:hAnsi="宋体" w:hint="eastAsia"/>
          <w:sz w:val="24"/>
        </w:rPr>
        <w:t>表示该标签与预测模型越不一致。</w:t>
      </w:r>
    </w:p>
    <w:p w14:paraId="6F12CDC0" w14:textId="2EBB10EC" w:rsidR="00D539DC" w:rsidRDefault="00D539DC" w:rsidP="00D16C42">
      <w:pPr>
        <w:jc w:val="both"/>
        <w:rPr>
          <w:rFonts w:ascii="宋体" w:eastAsia="宋体" w:hAnsi="宋体" w:hint="eastAsia"/>
          <w:sz w:val="24"/>
        </w:rPr>
      </w:pPr>
      <w:r>
        <w:rPr>
          <w:rFonts w:ascii="宋体" w:eastAsia="宋体" w:hAnsi="宋体"/>
          <w:sz w:val="24"/>
        </w:rPr>
        <w:t>共形阈值基于校准集全部评分统一计算（不按类别拆分），目标为边际1−α覆盖率</w:t>
      </w:r>
      <w:r w:rsidR="00F32071">
        <w:rPr>
          <w:rFonts w:ascii="宋体" w:eastAsia="宋体" w:hAnsi="宋体" w:hint="eastAsia"/>
          <w:sz w:val="24"/>
        </w:rPr>
        <w:t>，</w:t>
      </w:r>
      <w:r>
        <w:rPr>
          <w:rFonts w:ascii="宋体" w:eastAsia="宋体" w:hAnsi="宋体"/>
          <w:sz w:val="24"/>
        </w:rPr>
        <w:t>本研究取α= 0.10，对应名义覆盖率（nominal coverage）90%。校准集从源队列按类别分层抽取（分层仅关乎抽样构成，不构成类条件校准），占源队列的30%</w:t>
      </w:r>
      <w:r w:rsidR="008D1F11">
        <w:rPr>
          <w:rFonts w:ascii="宋体" w:eastAsia="宋体" w:hAnsi="宋体" w:hint="eastAsia"/>
          <w:sz w:val="24"/>
        </w:rPr>
        <w:t>。</w:t>
      </w:r>
      <w:r>
        <w:rPr>
          <w:rFonts w:ascii="宋体" w:eastAsia="宋体" w:hAnsi="宋体"/>
          <w:sz w:val="24"/>
        </w:rPr>
        <w:t>主确证性分析使用50个随机种子中的第一个做单次划分，50种子的平均结果仅作描述性分析。阈值的具体计算规则为：取校准集 LAC 分数中第 k 小的值作为阈值，其中 k = ⌈（</w:t>
      </w:r>
      <w:proofErr w:type="spellStart"/>
      <w:r>
        <w:rPr>
          <w:rFonts w:ascii="宋体" w:eastAsia="宋体" w:hAnsi="宋体"/>
          <w:sz w:val="24"/>
        </w:rPr>
        <w:t>n_cal</w:t>
      </w:r>
      <w:proofErr w:type="spellEnd"/>
      <w:r>
        <w:rPr>
          <w:rFonts w:ascii="宋体" w:eastAsia="宋体" w:hAnsi="宋体"/>
          <w:sz w:val="24"/>
        </w:rPr>
        <w:t xml:space="preserve"> + 1）(1−α）⌉，</w:t>
      </w:r>
      <w:proofErr w:type="spellStart"/>
      <w:r>
        <w:rPr>
          <w:rFonts w:ascii="宋体" w:eastAsia="宋体" w:hAnsi="宋体"/>
          <w:sz w:val="24"/>
        </w:rPr>
        <w:t>n_cal</w:t>
      </w:r>
      <w:proofErr w:type="spellEnd"/>
      <w:r>
        <w:rPr>
          <w:rFonts w:ascii="宋体" w:eastAsia="宋体" w:hAnsi="宋体"/>
          <w:sz w:val="24"/>
        </w:rPr>
        <w:t xml:space="preserve"> 为校准集样本量；候选标签的 LAC 不超过该阈值时纳入预测集；当 k &gt; </w:t>
      </w:r>
      <w:proofErr w:type="spellStart"/>
      <w:r>
        <w:rPr>
          <w:rFonts w:ascii="宋体" w:eastAsia="宋体" w:hAnsi="宋体"/>
          <w:sz w:val="24"/>
        </w:rPr>
        <w:t>n_cal</w:t>
      </w:r>
      <w:proofErr w:type="spellEnd"/>
      <w:r>
        <w:rPr>
          <w:rFonts w:ascii="宋体" w:eastAsia="宋体" w:hAnsi="宋体"/>
          <w:sz w:val="24"/>
        </w:rPr>
        <w:t xml:space="preserve"> 时，预测集为全部类别。类条件覆盖率仅作为失效模式诊断指标。在可交换性假设成立时，Split CP的理论保证为边际1−α覆盖；审计该覆盖保证在跨数据集部署条件下的实际表现。</w:t>
      </w:r>
    </w:p>
    <w:p w14:paraId="3F6C3C8E" w14:textId="41347CEF" w:rsidR="00860593" w:rsidRDefault="00D3670F" w:rsidP="00D16C42">
      <w:pPr>
        <w:jc w:val="both"/>
        <w:rPr>
          <w:rFonts w:ascii="宋体" w:eastAsia="宋体" w:hAnsi="宋体" w:hint="eastAsia"/>
          <w:sz w:val="24"/>
        </w:rPr>
      </w:pPr>
      <w:r>
        <w:rPr>
          <w:rFonts w:ascii="宋体" w:eastAsia="宋体" w:hAnsi="宋体" w:hint="eastAsia"/>
          <w:sz w:val="24"/>
        </w:rPr>
        <w:t>我们使用</w:t>
      </w:r>
      <w:r w:rsidR="00860593">
        <w:rPr>
          <w:rFonts w:ascii="宋体" w:eastAsia="宋体" w:hAnsi="宋体"/>
          <w:sz w:val="24"/>
        </w:rPr>
        <w:t>三类remediation arm，用于评估恢复覆盖的可行性与代价。目标域重校准：按类别分层抽取5/10/20/30%的标注样本重算阈值。加权共形（weighted CP）：不使用目标标注，以域分类器输出的目标域几率（odds）估计密度比作为校准权重</w:t>
      </w:r>
      <w:r>
        <w:rPr>
          <w:rFonts w:ascii="宋体" w:eastAsia="宋体" w:hAnsi="宋体" w:hint="eastAsia"/>
          <w:sz w:val="24"/>
        </w:rPr>
        <w:t>。</w:t>
      </w:r>
      <w:r w:rsidR="00860593">
        <w:rPr>
          <w:rFonts w:ascii="宋体" w:eastAsia="宋体" w:hAnsi="宋体"/>
          <w:sz w:val="24"/>
        </w:rPr>
        <w:t>域分类器为逻辑回归（与主参照同配置）</w:t>
      </w:r>
      <w:r>
        <w:rPr>
          <w:rFonts w:ascii="宋体" w:eastAsia="宋体" w:hAnsi="宋体" w:hint="eastAsia"/>
          <w:sz w:val="24"/>
        </w:rPr>
        <w:t>：</w:t>
      </w:r>
      <w:r w:rsidR="00860593">
        <w:rPr>
          <w:rFonts w:ascii="宋体" w:eastAsia="宋体" w:hAnsi="宋体"/>
          <w:sz w:val="24"/>
        </w:rPr>
        <w:t xml:space="preserve">以类别平衡权重在源训练样本与全部目标样本上训练，两域的等效先验各为二分之一，其几率输出在该先验下直接对应目标域与源域的密度比。权重做合池第99百分位（p99）截断，按 </w:t>
      </w:r>
      <w:proofErr w:type="spellStart"/>
      <w:r w:rsidR="00860593">
        <w:rPr>
          <w:rFonts w:ascii="宋体" w:eastAsia="宋体" w:hAnsi="宋体"/>
          <w:sz w:val="24"/>
        </w:rPr>
        <w:t>Tibshirani</w:t>
      </w:r>
      <w:proofErr w:type="spellEnd"/>
      <w:r w:rsidR="00860593">
        <w:rPr>
          <w:rFonts w:ascii="宋体" w:eastAsia="宋体" w:hAnsi="宋体"/>
          <w:sz w:val="24"/>
        </w:rPr>
        <w:t xml:space="preserve"> 等人的式（8）实现</w:t>
      </w:r>
      <w:r w:rsidR="006B7E3B">
        <w:rPr>
          <w:rFonts w:ascii="宋体" w:eastAsia="宋体" w:hAnsi="宋体" w:hint="eastAsia"/>
          <w:sz w:val="24"/>
        </w:rPr>
        <w:t>并</w:t>
      </w:r>
      <w:r w:rsidR="00860593">
        <w:rPr>
          <w:rFonts w:ascii="宋体" w:eastAsia="宋体" w:hAnsi="宋体"/>
          <w:sz w:val="24"/>
        </w:rPr>
        <w:t>经独立合成 oracle 逐点验证</w:t>
      </w:r>
      <w:r>
        <w:rPr>
          <w:rFonts w:ascii="宋体" w:eastAsia="宋体" w:hAnsi="宋体" w:hint="eastAsia"/>
          <w:sz w:val="24"/>
        </w:rPr>
        <w:t>，</w:t>
      </w:r>
      <w:r w:rsidR="00860593">
        <w:rPr>
          <w:rFonts w:ascii="宋体" w:eastAsia="宋体" w:hAnsi="宋体"/>
          <w:sz w:val="24"/>
        </w:rPr>
        <w:t>未截断时具有</w:t>
      </w:r>
      <w:r w:rsidR="00860593">
        <w:rPr>
          <w:rFonts w:ascii="宋体" w:eastAsia="宋体" w:hAnsi="宋体"/>
          <w:sz w:val="24"/>
        </w:rPr>
        <w:lastRenderedPageBreak/>
        <w:t>协变量偏移下加权边际1−α覆盖的形式保证，截断使其失效，故该臂仅作实用干预报告。协议条件重校准：按采集协议分别计算校准分位数，各协议组内的边际覆盖目标</w:t>
      </w:r>
      <w:r w:rsidR="00AA5AA2">
        <w:rPr>
          <w:rFonts w:ascii="宋体" w:eastAsia="宋体" w:hAnsi="宋体" w:hint="eastAsia"/>
          <w:sz w:val="24"/>
        </w:rPr>
        <w:t>为</w:t>
      </w:r>
      <w:r w:rsidR="00AA5AA2">
        <w:rPr>
          <w:rFonts w:ascii="宋体" w:eastAsia="宋体" w:hAnsi="宋体"/>
          <w:sz w:val="24"/>
        </w:rPr>
        <w:t>1</w:t>
      </w:r>
      <w:r w:rsidR="00860593">
        <w:rPr>
          <w:rFonts w:ascii="宋体" w:eastAsia="宋体" w:hAnsi="宋体"/>
          <w:sz w:val="24"/>
        </w:rPr>
        <w:t>−α（以组内可交换性为条件）。</w:t>
      </w:r>
    </w:p>
    <w:p w14:paraId="365BEC87" w14:textId="77777777" w:rsidR="00D630B6" w:rsidRDefault="00D630B6" w:rsidP="00D16C42">
      <w:pPr>
        <w:jc w:val="both"/>
        <w:rPr>
          <w:rFonts w:ascii="黑体" w:eastAsia="黑体" w:hAnsi="黑体" w:hint="eastAsia"/>
          <w:sz w:val="28"/>
          <w:szCs w:val="28"/>
        </w:rPr>
      </w:pPr>
      <w:r>
        <w:rPr>
          <w:rFonts w:ascii="黑体" w:eastAsia="黑体" w:hAnsi="黑体" w:hint="eastAsia"/>
          <w:sz w:val="28"/>
          <w:szCs w:val="28"/>
        </w:rPr>
        <w:t>统计分析</w:t>
      </w:r>
    </w:p>
    <w:p w14:paraId="7F8DC1D1" w14:textId="77777777" w:rsidR="007F3DBB" w:rsidRDefault="00F71178" w:rsidP="00D16C42">
      <w:pPr>
        <w:jc w:val="both"/>
        <w:rPr>
          <w:rFonts w:ascii="宋体" w:eastAsia="宋体" w:hAnsi="宋体" w:hint="eastAsia"/>
          <w:sz w:val="24"/>
        </w:rPr>
      </w:pPr>
      <w:r w:rsidRPr="00F71178">
        <w:rPr>
          <w:rFonts w:ascii="宋体" w:eastAsia="宋体" w:hAnsi="宋体"/>
          <w:sz w:val="24"/>
        </w:rPr>
        <w:t>所有分析均在 Python 3.12.</w:t>
      </w:r>
      <w:r w:rsidR="00EB0E33" w:rsidRPr="00F71178">
        <w:rPr>
          <w:rFonts w:ascii="宋体" w:eastAsia="宋体" w:hAnsi="宋体"/>
          <w:sz w:val="24"/>
        </w:rPr>
        <w:t>10环境</w:t>
      </w:r>
      <w:r w:rsidRPr="00F71178">
        <w:rPr>
          <w:rFonts w:ascii="宋体" w:eastAsia="宋体" w:hAnsi="宋体"/>
          <w:sz w:val="24"/>
        </w:rPr>
        <w:t>中完成，使用的工具包包括scikit-learn 1.9.1、</w:t>
      </w:r>
      <w:proofErr w:type="spellStart"/>
      <w:r w:rsidRPr="00F71178">
        <w:rPr>
          <w:rFonts w:ascii="宋体" w:eastAsia="宋体" w:hAnsi="宋体"/>
          <w:sz w:val="24"/>
        </w:rPr>
        <w:t>LightGBM</w:t>
      </w:r>
      <w:proofErr w:type="spellEnd"/>
      <w:r w:rsidRPr="00F71178">
        <w:rPr>
          <w:rFonts w:ascii="宋体" w:eastAsia="宋体" w:hAnsi="宋体"/>
          <w:sz w:val="24"/>
        </w:rPr>
        <w:t xml:space="preserve"> 4.7.0与 MAPIE 1.5.0</w:t>
      </w:r>
      <w:r>
        <w:rPr>
          <w:rFonts w:ascii="宋体" w:eastAsia="宋体" w:hAnsi="宋体" w:hint="eastAsia"/>
          <w:sz w:val="24"/>
        </w:rPr>
        <w:t>。</w:t>
      </w:r>
    </w:p>
    <w:p w14:paraId="7C5179C4" w14:textId="2F4CA2D0" w:rsidR="003479AC" w:rsidRDefault="00F71178" w:rsidP="00D16C42">
      <w:pPr>
        <w:jc w:val="both"/>
        <w:rPr>
          <w:rFonts w:ascii="宋体" w:eastAsia="宋体" w:hAnsi="宋体" w:hint="eastAsia"/>
          <w:sz w:val="24"/>
        </w:rPr>
      </w:pPr>
      <w:r>
        <w:rPr>
          <w:rFonts w:ascii="宋体" w:eastAsia="宋体" w:hAnsi="宋体"/>
          <w:sz w:val="24"/>
        </w:rPr>
        <w:t>推断分析均以受试者为分析单位：每名受试者的会话数据与有效动作在共形评估前聚合，在目标域贡献一个用于覆盖率计算的0/1观测。本研究的核心审计指标为各迁移方向的边际覆盖率，确证性统计检验仅针对三个预设的主要部署对比开展：</w:t>
      </w:r>
      <w:proofErr w:type="spellStart"/>
      <w:r>
        <w:rPr>
          <w:rFonts w:ascii="宋体" w:eastAsia="宋体" w:hAnsi="宋体"/>
          <w:sz w:val="24"/>
        </w:rPr>
        <w:t>Tappy→MIT</w:t>
      </w:r>
      <w:proofErr w:type="spellEnd"/>
      <w:r>
        <w:rPr>
          <w:rFonts w:ascii="宋体" w:eastAsia="宋体" w:hAnsi="宋体"/>
          <w:sz w:val="24"/>
        </w:rPr>
        <w:t>、</w:t>
      </w:r>
      <w:proofErr w:type="spellStart"/>
      <w:r>
        <w:rPr>
          <w:rFonts w:ascii="宋体" w:eastAsia="宋体" w:hAnsi="宋体"/>
          <w:sz w:val="24"/>
        </w:rPr>
        <w:t>MIT→Tappy</w:t>
      </w:r>
      <w:proofErr w:type="spellEnd"/>
      <w:r>
        <w:rPr>
          <w:rFonts w:ascii="宋体" w:eastAsia="宋体" w:hAnsi="宋体"/>
          <w:sz w:val="24"/>
        </w:rPr>
        <w:t>，以及由临床数据集（</w:t>
      </w:r>
      <w:proofErr w:type="spellStart"/>
      <w:r>
        <w:rPr>
          <w:rFonts w:ascii="宋体" w:eastAsia="宋体" w:hAnsi="宋体"/>
          <w:sz w:val="24"/>
        </w:rPr>
        <w:t>MIT+TyPD</w:t>
      </w:r>
      <w:proofErr w:type="spellEnd"/>
      <w:r>
        <w:rPr>
          <w:rFonts w:ascii="宋体" w:eastAsia="宋体" w:hAnsi="宋体"/>
          <w:sz w:val="24"/>
        </w:rPr>
        <w:t>）到自报数据集（</w:t>
      </w:r>
      <w:proofErr w:type="spellStart"/>
      <w:r>
        <w:rPr>
          <w:rFonts w:ascii="宋体" w:eastAsia="宋体" w:hAnsi="宋体"/>
          <w:sz w:val="24"/>
        </w:rPr>
        <w:t>Tappy+OE</w:t>
      </w:r>
      <w:proofErr w:type="spellEnd"/>
      <w:r>
        <w:rPr>
          <w:rFonts w:ascii="宋体" w:eastAsia="宋体" w:hAnsi="宋体"/>
          <w:sz w:val="24"/>
        </w:rPr>
        <w:t>）的合并方向</w:t>
      </w:r>
      <w:r w:rsidR="00D16C42">
        <w:rPr>
          <w:rFonts w:ascii="宋体" w:eastAsia="宋体" w:hAnsi="宋体" w:hint="eastAsia"/>
          <w:sz w:val="24"/>
        </w:rPr>
        <w:t>。</w:t>
      </w:r>
      <w:r>
        <w:rPr>
          <w:rFonts w:ascii="宋体" w:eastAsia="宋体" w:hAnsi="宋体"/>
          <w:sz w:val="24"/>
        </w:rPr>
        <w:t>三者为计划阶段依功效模拟预先选定的主要检验方向（功效模拟见补充材料</w:t>
      </w:r>
      <w:r w:rsidR="00D3670F">
        <w:rPr>
          <w:rFonts w:ascii="宋体" w:eastAsia="宋体" w:hAnsi="宋体" w:hint="eastAsia"/>
          <w:sz w:val="24"/>
        </w:rPr>
        <w:t>表</w:t>
      </w:r>
      <w:r w:rsidR="00D3670F">
        <w:rPr>
          <w:rFonts w:ascii="宋体" w:eastAsia="宋体" w:hAnsi="宋体"/>
          <w:sz w:val="24"/>
        </w:rPr>
        <w:t>S3</w:t>
      </w:r>
      <w:r>
        <w:rPr>
          <w:rFonts w:ascii="宋体" w:eastAsia="宋体" w:hAnsi="宋体"/>
          <w:sz w:val="24"/>
        </w:rPr>
        <w:t>），其中合并方向为预先定义的汇总对比</w:t>
      </w:r>
      <w:r w:rsidR="00D3670F">
        <w:rPr>
          <w:rFonts w:ascii="宋体" w:eastAsia="宋体" w:hAnsi="宋体" w:hint="eastAsia"/>
          <w:sz w:val="24"/>
        </w:rPr>
        <w:t>，</w:t>
      </w:r>
      <w:r>
        <w:rPr>
          <w:rFonts w:ascii="宋体" w:eastAsia="宋体" w:hAnsi="宋体"/>
          <w:sz w:val="24"/>
        </w:rPr>
        <w:t>不</w:t>
      </w:r>
      <w:r w:rsidR="00D3670F">
        <w:rPr>
          <w:rFonts w:ascii="宋体" w:eastAsia="宋体" w:hAnsi="宋体" w:hint="eastAsia"/>
          <w:sz w:val="24"/>
        </w:rPr>
        <w:t>属于</w:t>
      </w:r>
      <w:r>
        <w:rPr>
          <w:rFonts w:ascii="宋体" w:eastAsia="宋体" w:hAnsi="宋体"/>
          <w:sz w:val="24"/>
        </w:rPr>
        <w:t>12个有序数据集对</w:t>
      </w:r>
      <w:r w:rsidR="00D16C42">
        <w:rPr>
          <w:rFonts w:ascii="宋体" w:eastAsia="宋体" w:hAnsi="宋体" w:hint="eastAsia"/>
          <w:sz w:val="24"/>
        </w:rPr>
        <w:t>。</w:t>
      </w:r>
      <w:r>
        <w:rPr>
          <w:rFonts w:ascii="宋体" w:eastAsia="宋体" w:hAnsi="宋体"/>
          <w:sz w:val="24"/>
        </w:rPr>
        <w:t>检验对象即临床标注源模型部署于自报采集环境的情形，</w:t>
      </w:r>
      <w:proofErr w:type="spellStart"/>
      <w:r>
        <w:rPr>
          <w:rFonts w:ascii="宋体" w:eastAsia="宋体" w:hAnsi="宋体"/>
          <w:sz w:val="24"/>
        </w:rPr>
        <w:t>TyPD</w:t>
      </w:r>
      <w:proofErr w:type="spellEnd"/>
      <w:r>
        <w:rPr>
          <w:rFonts w:ascii="宋体" w:eastAsia="宋体" w:hAnsi="宋体"/>
          <w:sz w:val="24"/>
        </w:rPr>
        <w:t>与OE仅通过该方向参与确证性检验。四个数据集间全部12个有序数据集对的结果均完整报告并构成描述性审计矩阵，不作家族校正下的推断</w:t>
      </w:r>
      <w:r w:rsidR="00D16C42">
        <w:rPr>
          <w:rFonts w:ascii="宋体" w:eastAsia="宋体" w:hAnsi="宋体" w:hint="eastAsia"/>
          <w:sz w:val="24"/>
        </w:rPr>
        <w:t>，</w:t>
      </w:r>
      <w:r>
        <w:rPr>
          <w:rFonts w:ascii="宋体" w:eastAsia="宋体" w:hAnsi="宋体"/>
          <w:sz w:val="24"/>
        </w:rPr>
        <w:t>多重性控制仅施加于上述三个主要对比。各确证性方向的边际覆盖率均采用单侧二项检验，原假设为真实覆盖率≥0.90，名义显著性水平α= 0.10，同时采用Holm矫正方法将该检验家族的家族错误率控制在0.10。</w:t>
      </w:r>
    </w:p>
    <w:p w14:paraId="5CB9445F" w14:textId="0B95048D" w:rsidR="009C14F1" w:rsidRPr="00D3670F" w:rsidRDefault="00000000" w:rsidP="00D16C42">
      <w:pPr>
        <w:jc w:val="both"/>
        <w:rPr>
          <w:rFonts w:ascii="宋体" w:eastAsia="宋体" w:hAnsi="宋体" w:hint="eastAsia"/>
          <w:sz w:val="24"/>
        </w:rPr>
      </w:pPr>
      <w:r w:rsidRPr="00D3670F">
        <w:rPr>
          <w:rFonts w:ascii="宋体" w:eastAsia="宋体" w:hAnsi="宋体"/>
          <w:sz w:val="24"/>
        </w:rPr>
        <w:t xml:space="preserve">判别力以受试者级 AUC </w:t>
      </w:r>
      <w:r w:rsidR="00D10490">
        <w:rPr>
          <w:rFonts w:ascii="宋体" w:eastAsia="宋体" w:hAnsi="宋体" w:hint="eastAsia"/>
          <w:sz w:val="24"/>
        </w:rPr>
        <w:t>衡量</w:t>
      </w:r>
      <w:r w:rsidRPr="00D3670F">
        <w:rPr>
          <w:rFonts w:ascii="宋体" w:eastAsia="宋体" w:hAnsi="宋体"/>
          <w:sz w:val="24"/>
        </w:rPr>
        <w:t>，各方向</w:t>
      </w:r>
      <w:r w:rsidR="00D3670F" w:rsidRPr="00D3670F">
        <w:rPr>
          <w:rFonts w:ascii="宋体" w:eastAsia="宋体" w:hAnsi="宋体" w:hint="eastAsia"/>
          <w:sz w:val="24"/>
        </w:rPr>
        <w:t>报告</w:t>
      </w:r>
      <w:r w:rsidR="00D3670F" w:rsidRPr="00D3670F">
        <w:rPr>
          <w:rFonts w:ascii="宋体" w:eastAsia="宋体" w:hAnsi="宋体"/>
          <w:sz w:val="24"/>
        </w:rPr>
        <w:t>50</w:t>
      </w:r>
      <w:r w:rsidRPr="00D3670F">
        <w:rPr>
          <w:rFonts w:ascii="宋体" w:eastAsia="宋体" w:hAnsi="宋体"/>
          <w:sz w:val="24"/>
        </w:rPr>
        <w:t>个种子的均值与标准差</w:t>
      </w:r>
      <w:r w:rsidR="00D16C42">
        <w:rPr>
          <w:rFonts w:ascii="宋体" w:eastAsia="宋体" w:hAnsi="宋体" w:hint="eastAsia"/>
          <w:sz w:val="24"/>
        </w:rPr>
        <w:t>。</w:t>
      </w:r>
      <w:r w:rsidRPr="00D3670F">
        <w:rPr>
          <w:rFonts w:ascii="宋体" w:eastAsia="宋体" w:hAnsi="宋体"/>
          <w:sz w:val="24"/>
        </w:rPr>
        <w:t>库内参照为各模型在 MIT 源域验收集上以相同方式评估的平均 AUC（主</w:t>
      </w:r>
      <w:r w:rsidR="008E4B6C">
        <w:rPr>
          <w:rFonts w:ascii="宋体" w:eastAsia="宋体" w:hAnsi="宋体" w:hint="eastAsia"/>
          <w:sz w:val="24"/>
        </w:rPr>
        <w:t>模型</w:t>
      </w:r>
      <w:r w:rsidR="00D3670F" w:rsidRPr="00D3670F">
        <w:rPr>
          <w:rFonts w:ascii="宋体" w:eastAsia="宋体" w:hAnsi="宋体"/>
          <w:sz w:val="24"/>
        </w:rPr>
        <w:t>0.787</w:t>
      </w:r>
      <w:r w:rsidRPr="00D3670F">
        <w:rPr>
          <w:rFonts w:ascii="宋体" w:eastAsia="宋体" w:hAnsi="宋体"/>
          <w:sz w:val="24"/>
        </w:rPr>
        <w:t>，</w:t>
      </w:r>
      <w:r w:rsidR="00D3670F" w:rsidRPr="00D3670F">
        <w:rPr>
          <w:rFonts w:ascii="宋体" w:eastAsia="宋体" w:hAnsi="宋体" w:hint="eastAsia"/>
          <w:sz w:val="24"/>
        </w:rPr>
        <w:t>对照</w:t>
      </w:r>
      <w:r w:rsidR="00D3670F" w:rsidRPr="00D3670F">
        <w:rPr>
          <w:rFonts w:ascii="宋体" w:eastAsia="宋体" w:hAnsi="宋体"/>
          <w:sz w:val="24"/>
        </w:rPr>
        <w:t>0.726</w:t>
      </w:r>
      <w:r w:rsidRPr="00D3670F">
        <w:rPr>
          <w:rFonts w:ascii="宋体" w:eastAsia="宋体" w:hAnsi="宋体"/>
          <w:sz w:val="24"/>
        </w:rPr>
        <w:t>），ΔAUC 定义为方向均值与该参照之差，度量各方向判别力相对预注册库内基准的偏差</w:t>
      </w:r>
      <w:r w:rsidR="00D16C42">
        <w:rPr>
          <w:rFonts w:ascii="宋体" w:eastAsia="宋体" w:hAnsi="宋体" w:hint="eastAsia"/>
          <w:sz w:val="24"/>
        </w:rPr>
        <w:t>。</w:t>
      </w:r>
      <w:r w:rsidRPr="00D3670F">
        <w:rPr>
          <w:rFonts w:ascii="宋体" w:eastAsia="宋体" w:hAnsi="宋体"/>
          <w:sz w:val="24"/>
        </w:rPr>
        <w:t>该偏差不等同于逐方向从源域到目标域的部署判别退化</w:t>
      </w:r>
      <w:r w:rsidR="00BA45CA">
        <w:rPr>
          <w:rFonts w:ascii="宋体" w:eastAsia="宋体" w:hAnsi="宋体" w:hint="eastAsia"/>
          <w:sz w:val="24"/>
        </w:rPr>
        <w:t>，</w:t>
      </w:r>
      <w:r w:rsidRPr="00D3670F">
        <w:rPr>
          <w:rFonts w:ascii="宋体" w:eastAsia="宋体" w:hAnsi="宋体"/>
          <w:sz w:val="24"/>
        </w:rPr>
        <w:t>后者需要源域内部基准，而库内效度评估按计划仅在 MIT 开展，其余源域无登记的域内 AUC。预注册的核心</w:t>
      </w:r>
      <w:r w:rsidR="00D3670F" w:rsidRPr="00D3670F">
        <w:rPr>
          <w:rFonts w:ascii="宋体" w:eastAsia="宋体" w:hAnsi="宋体" w:hint="eastAsia"/>
          <w:sz w:val="24"/>
        </w:rPr>
        <w:t>假设</w:t>
      </w:r>
      <w:r w:rsidR="00D3670F" w:rsidRPr="00D3670F">
        <w:rPr>
          <w:rFonts w:ascii="宋体" w:eastAsia="宋体" w:hAnsi="宋体"/>
          <w:sz w:val="24"/>
        </w:rPr>
        <w:t>H1</w:t>
      </w:r>
      <w:r w:rsidRPr="00D3670F">
        <w:rPr>
          <w:rFonts w:ascii="宋体" w:eastAsia="宋体" w:hAnsi="宋体"/>
          <w:sz w:val="24"/>
        </w:rPr>
        <w:t>为：分布偏移下判别退化与覆盖退化呈现非同一模式。H1 采用预设的方向级描述性联合判读，以连续量为基础比较各方向</w:t>
      </w:r>
      <w:r w:rsidR="00D3670F" w:rsidRPr="00D3670F">
        <w:rPr>
          <w:rFonts w:ascii="宋体" w:eastAsia="宋体" w:hAnsi="宋体" w:hint="eastAsia"/>
          <w:sz w:val="24"/>
        </w:rPr>
        <w:t>的</w:t>
      </w:r>
      <w:r w:rsidR="00D3670F" w:rsidRPr="00D3670F">
        <w:rPr>
          <w:rFonts w:ascii="宋体" w:eastAsia="宋体" w:hAnsi="宋体"/>
          <w:sz w:val="24"/>
        </w:rPr>
        <w:t>Δ</w:t>
      </w:r>
      <w:r w:rsidRPr="00D3670F">
        <w:rPr>
          <w:rFonts w:ascii="宋体" w:eastAsia="宋体" w:hAnsi="宋体"/>
          <w:sz w:val="24"/>
        </w:rPr>
        <w:t>AUC 与边际覆盖率相对</w:t>
      </w:r>
      <w:r w:rsidR="00D3670F" w:rsidRPr="00D3670F">
        <w:rPr>
          <w:rFonts w:ascii="宋体" w:eastAsia="宋体" w:hAnsi="宋体" w:hint="eastAsia"/>
          <w:sz w:val="24"/>
        </w:rPr>
        <w:t>名义</w:t>
      </w:r>
      <w:r w:rsidR="00D3670F" w:rsidRPr="00D3670F">
        <w:rPr>
          <w:rFonts w:ascii="宋体" w:eastAsia="宋体" w:hAnsi="宋体"/>
          <w:sz w:val="24"/>
        </w:rPr>
        <w:t>0.90</w:t>
      </w:r>
      <w:r w:rsidRPr="00D3670F">
        <w:rPr>
          <w:rFonts w:ascii="宋体" w:eastAsia="宋体" w:hAnsi="宋体"/>
          <w:sz w:val="24"/>
        </w:rPr>
        <w:t>的偏离</w:t>
      </w:r>
      <w:r w:rsidR="008E4B6C">
        <w:rPr>
          <w:rFonts w:ascii="宋体" w:eastAsia="宋体" w:hAnsi="宋体" w:hint="eastAsia"/>
          <w:sz w:val="24"/>
        </w:rPr>
        <w:t>，</w:t>
      </w:r>
      <w:r w:rsidR="00912B8C">
        <w:rPr>
          <w:rFonts w:ascii="宋体" w:eastAsia="宋体" w:hAnsi="宋体" w:hint="eastAsia"/>
          <w:sz w:val="24"/>
        </w:rPr>
        <w:t>方向分类仅用于辅助概括，不构成独立的统计检验。</w:t>
      </w:r>
      <w:r w:rsidRPr="00D3670F">
        <w:rPr>
          <w:rFonts w:ascii="宋体" w:eastAsia="宋体" w:hAnsi="宋体"/>
          <w:sz w:val="24"/>
        </w:rPr>
        <w:t>其中AUC 相对库内基准呈负偏差</w:t>
      </w:r>
      <w:r w:rsidR="00912B8C">
        <w:rPr>
          <w:rFonts w:ascii="宋体" w:eastAsia="宋体" w:hAnsi="宋体" w:hint="eastAsia"/>
          <w:sz w:val="24"/>
        </w:rPr>
        <w:t>而覆盖率被判为相容</w:t>
      </w:r>
      <w:r w:rsidRPr="00D3670F">
        <w:rPr>
          <w:rFonts w:ascii="宋体" w:eastAsia="宋体" w:hAnsi="宋体"/>
          <w:sz w:val="24"/>
        </w:rPr>
        <w:t>以及 AUC 相对库内基准</w:t>
      </w:r>
      <w:r w:rsidR="00912B8C">
        <w:rPr>
          <w:rFonts w:ascii="宋体" w:eastAsia="宋体" w:hAnsi="宋体" w:hint="eastAsia"/>
          <w:sz w:val="24"/>
        </w:rPr>
        <w:t>未呈现负偏差</w:t>
      </w:r>
      <w:r w:rsidRPr="00D3670F">
        <w:rPr>
          <w:rFonts w:ascii="宋体" w:eastAsia="宋体" w:hAnsi="宋体"/>
          <w:sz w:val="24"/>
        </w:rPr>
        <w:t>而覆盖被判为不相容，均构成</w:t>
      </w:r>
      <w:r w:rsidR="00D3670F" w:rsidRPr="00D3670F">
        <w:rPr>
          <w:rFonts w:ascii="宋体" w:eastAsia="宋体" w:hAnsi="宋体" w:hint="eastAsia"/>
          <w:sz w:val="24"/>
        </w:rPr>
        <w:t>与</w:t>
      </w:r>
      <w:r w:rsidR="00D3670F" w:rsidRPr="00D3670F">
        <w:rPr>
          <w:rFonts w:ascii="宋体" w:eastAsia="宋体" w:hAnsi="宋体"/>
          <w:sz w:val="24"/>
        </w:rPr>
        <w:t>H1</w:t>
      </w:r>
      <w:r w:rsidRPr="00D3670F">
        <w:rPr>
          <w:rFonts w:ascii="宋体" w:eastAsia="宋体" w:hAnsi="宋体"/>
          <w:sz w:val="24"/>
        </w:rPr>
        <w:t>一致的非同步模式。覆盖率的确证性推断按设计仅在预设单一划分（</w:t>
      </w:r>
      <w:r w:rsidR="00D3670F" w:rsidRPr="00D3670F">
        <w:rPr>
          <w:rFonts w:ascii="宋体" w:eastAsia="宋体" w:hAnsi="宋体"/>
          <w:sz w:val="24"/>
        </w:rPr>
        <w:t>50个</w:t>
      </w:r>
      <w:r w:rsidRPr="00D3670F">
        <w:rPr>
          <w:rFonts w:ascii="宋体" w:eastAsia="宋体" w:hAnsi="宋体"/>
          <w:sz w:val="24"/>
        </w:rPr>
        <w:t>随机种子中的第一个）上定义</w:t>
      </w:r>
      <w:r w:rsidR="00D5775B">
        <w:rPr>
          <w:rFonts w:ascii="宋体" w:eastAsia="宋体" w:hAnsi="宋体" w:hint="eastAsia"/>
          <w:sz w:val="24"/>
        </w:rPr>
        <w:t>。</w:t>
      </w:r>
      <w:r w:rsidRPr="00D3670F">
        <w:rPr>
          <w:rFonts w:ascii="宋体" w:eastAsia="宋体" w:hAnsi="宋体"/>
          <w:sz w:val="24"/>
        </w:rPr>
        <w:t>判别力无推断角色</w:t>
      </w:r>
      <w:r w:rsidR="00D5775B">
        <w:rPr>
          <w:rFonts w:ascii="宋体" w:eastAsia="宋体" w:hAnsi="宋体" w:hint="eastAsia"/>
          <w:sz w:val="24"/>
        </w:rPr>
        <w:t>，仅</w:t>
      </w:r>
      <w:r w:rsidR="00D3670F" w:rsidRPr="00D3670F">
        <w:rPr>
          <w:rFonts w:ascii="宋体" w:eastAsia="宋体" w:hAnsi="宋体" w:hint="eastAsia"/>
          <w:sz w:val="24"/>
        </w:rPr>
        <w:t>以</w:t>
      </w:r>
      <w:r w:rsidR="00D3670F" w:rsidRPr="00D3670F">
        <w:rPr>
          <w:rFonts w:ascii="宋体" w:eastAsia="宋体" w:hAnsi="宋体"/>
          <w:sz w:val="24"/>
        </w:rPr>
        <w:t>50</w:t>
      </w:r>
      <w:r w:rsidRPr="00D3670F">
        <w:rPr>
          <w:rFonts w:ascii="宋体" w:eastAsia="宋体" w:hAnsi="宋体"/>
          <w:sz w:val="24"/>
        </w:rPr>
        <w:t>种子汇总刻画跨划分稳定性</w:t>
      </w:r>
      <w:r w:rsidR="000352C7">
        <w:rPr>
          <w:rFonts w:ascii="宋体" w:eastAsia="宋体" w:hAnsi="宋体" w:hint="eastAsia"/>
          <w:sz w:val="24"/>
        </w:rPr>
        <w:t>。</w:t>
      </w:r>
      <w:r w:rsidR="00D3670F" w:rsidRPr="00D3670F">
        <w:rPr>
          <w:rFonts w:ascii="宋体" w:eastAsia="宋体" w:hAnsi="宋体"/>
          <w:sz w:val="24"/>
        </w:rPr>
        <w:t>12个</w:t>
      </w:r>
      <w:r w:rsidRPr="00D3670F">
        <w:rPr>
          <w:rFonts w:ascii="宋体" w:eastAsia="宋体" w:hAnsi="宋体"/>
          <w:sz w:val="24"/>
        </w:rPr>
        <w:t>方向非独立（n = 12），</w:t>
      </w:r>
      <w:r w:rsidR="00F07F5C">
        <w:rPr>
          <w:rFonts w:ascii="宋体" w:eastAsia="宋体" w:hAnsi="宋体" w:hint="eastAsia"/>
          <w:sz w:val="24"/>
        </w:rPr>
        <w:t>因此</w:t>
      </w:r>
      <w:r w:rsidRPr="00D3670F">
        <w:rPr>
          <w:rFonts w:ascii="宋体" w:eastAsia="宋体" w:hAnsi="宋体"/>
          <w:sz w:val="24"/>
        </w:rPr>
        <w:t>不对方向级相关性进行显著性检验，H1 的联合结果作为预注册的描述性审计证据报告。PD/HC 类条件覆盖率用于进一步诊断边际覆盖失效的类别来源，不</w:t>
      </w:r>
      <w:r w:rsidR="00F07F5C">
        <w:rPr>
          <w:rFonts w:ascii="宋体" w:eastAsia="宋体" w:hAnsi="宋体" w:hint="eastAsia"/>
          <w:sz w:val="24"/>
        </w:rPr>
        <w:t>纳入</w:t>
      </w:r>
      <w:r w:rsidR="00D3670F" w:rsidRPr="00D3670F">
        <w:rPr>
          <w:rFonts w:ascii="宋体" w:eastAsia="宋体" w:hAnsi="宋体"/>
          <w:sz w:val="24"/>
        </w:rPr>
        <w:t>H1</w:t>
      </w:r>
      <w:r w:rsidRPr="00D3670F">
        <w:rPr>
          <w:rFonts w:ascii="宋体" w:eastAsia="宋体" w:hAnsi="宋体"/>
          <w:sz w:val="24"/>
        </w:rPr>
        <w:t>联合判读。</w:t>
      </w:r>
    </w:p>
    <w:p w14:paraId="4A80C734" w14:textId="7ADC03F4" w:rsidR="003479AC" w:rsidRPr="007F3DBB" w:rsidRDefault="00FB2F0D" w:rsidP="00D16C42">
      <w:pPr>
        <w:jc w:val="both"/>
        <w:rPr>
          <w:rFonts w:ascii="宋体" w:eastAsia="宋体" w:hAnsi="宋体" w:hint="eastAsia"/>
          <w:sz w:val="24"/>
        </w:rPr>
      </w:pPr>
      <w:r>
        <w:rPr>
          <w:rFonts w:ascii="宋体" w:eastAsia="宋体" w:hAnsi="宋体" w:hint="eastAsia"/>
          <w:sz w:val="24"/>
        </w:rPr>
        <w:t>Operational audit</w:t>
      </w:r>
      <w:r w:rsidR="003479AC">
        <w:rPr>
          <w:rFonts w:ascii="宋体" w:eastAsia="宋体" w:hAnsi="宋体" w:hint="eastAsia"/>
          <w:sz w:val="24"/>
        </w:rPr>
        <w:t>进一步以未调整的95%</w:t>
      </w:r>
      <w:r w:rsidR="003479AC" w:rsidRPr="003479AC">
        <w:t xml:space="preserve"> </w:t>
      </w:r>
      <w:r w:rsidR="003479AC" w:rsidRPr="003479AC">
        <w:rPr>
          <w:rFonts w:ascii="宋体" w:eastAsia="宋体" w:hAnsi="宋体"/>
          <w:sz w:val="24"/>
        </w:rPr>
        <w:t>Clopper–Pearson 区间对照预设</w:t>
      </w:r>
      <w:r w:rsidR="003479AC" w:rsidRPr="003479AC">
        <w:rPr>
          <w:rFonts w:ascii="宋体" w:eastAsia="宋体" w:hAnsi="宋体" w:hint="eastAsia"/>
          <w:sz w:val="24"/>
        </w:rPr>
        <w:t>的</w:t>
      </w:r>
      <w:r w:rsidR="003479AC" w:rsidRPr="003479AC">
        <w:rPr>
          <w:rFonts w:ascii="宋体" w:eastAsia="宋体" w:hAnsi="宋体"/>
          <w:sz w:val="24"/>
        </w:rPr>
        <w:t>0.80审计阈值</w:t>
      </w:r>
      <w:r w:rsidR="003479AC">
        <w:rPr>
          <w:rFonts w:ascii="宋体" w:eastAsia="宋体" w:hAnsi="宋体" w:hint="eastAsia"/>
          <w:sz w:val="24"/>
        </w:rPr>
        <w:t>，按预注册的有序规则标记各迁移方向：</w:t>
      </w:r>
      <w:r w:rsidR="003479AC" w:rsidRPr="003479AC">
        <w:rPr>
          <w:rFonts w:ascii="宋体" w:eastAsia="宋体" w:hAnsi="宋体"/>
          <w:sz w:val="24"/>
        </w:rPr>
        <w:t>区间上界 &lt; 0.90时标记</w:t>
      </w:r>
      <w:r w:rsidR="003479AC" w:rsidRPr="003479AC">
        <w:rPr>
          <w:rFonts w:ascii="宋体" w:eastAsia="宋体" w:hAnsi="宋体"/>
          <w:sz w:val="24"/>
        </w:rPr>
        <w:lastRenderedPageBreak/>
        <w:t>为不相容（Incompatible）</w:t>
      </w:r>
      <w:r w:rsidR="00795A70">
        <w:rPr>
          <w:rFonts w:ascii="宋体" w:eastAsia="宋体" w:hAnsi="宋体" w:hint="eastAsia"/>
          <w:sz w:val="24"/>
        </w:rPr>
        <w:t>，</w:t>
      </w:r>
      <w:r w:rsidR="003479AC" w:rsidRPr="003479AC">
        <w:rPr>
          <w:rFonts w:ascii="宋体" w:eastAsia="宋体" w:hAnsi="宋体"/>
          <w:sz w:val="24"/>
        </w:rPr>
        <w:t>下界 ≥ 0.80时标记为相容（Compatible）</w:t>
      </w:r>
      <w:r w:rsidR="00795A70">
        <w:rPr>
          <w:rFonts w:ascii="宋体" w:eastAsia="宋体" w:hAnsi="宋体" w:hint="eastAsia"/>
          <w:sz w:val="24"/>
        </w:rPr>
        <w:t>，</w:t>
      </w:r>
      <w:r w:rsidR="003479AC" w:rsidRPr="003479AC">
        <w:rPr>
          <w:rFonts w:ascii="宋体" w:eastAsia="宋体" w:hAnsi="宋体"/>
          <w:sz w:val="24"/>
        </w:rPr>
        <w:t>其余为证据不足（Undetermined）</w:t>
      </w:r>
      <w:r w:rsidR="003479AC">
        <w:rPr>
          <w:rFonts w:ascii="宋体" w:eastAsia="宋体" w:hAnsi="宋体" w:hint="eastAsia"/>
          <w:sz w:val="24"/>
        </w:rPr>
        <w:t>。</w:t>
      </w:r>
      <w:r w:rsidR="003479AC" w:rsidRPr="003479AC">
        <w:rPr>
          <w:rFonts w:ascii="宋体" w:eastAsia="宋体" w:hAnsi="宋体"/>
          <w:sz w:val="24"/>
        </w:rPr>
        <w:t>PD/HC 类条件覆盖率作为预设的失效模式诊断指标，报告精确 Clopper–Pearson 区间。类条件分析、分组分析及对照分析均为描述性分析，未进行多重性校正</w:t>
      </w:r>
      <w:r w:rsidR="00795A70">
        <w:rPr>
          <w:rFonts w:ascii="宋体" w:eastAsia="宋体" w:hAnsi="宋体" w:hint="eastAsia"/>
          <w:sz w:val="24"/>
        </w:rPr>
        <w:t>。</w:t>
      </w:r>
      <w:r w:rsidR="003479AC" w:rsidRPr="003479AC">
        <w:rPr>
          <w:rFonts w:ascii="宋体" w:eastAsia="宋体" w:hAnsi="宋体"/>
          <w:sz w:val="24"/>
        </w:rPr>
        <w:t>分组分析包括性别和年龄中位数分层，仅在 Tappy 作为</w:t>
      </w:r>
      <w:r w:rsidR="005D5829">
        <w:rPr>
          <w:rFonts w:ascii="宋体" w:eastAsia="宋体" w:hAnsi="宋体" w:hint="eastAsia"/>
          <w:sz w:val="24"/>
        </w:rPr>
        <w:t>目标</w:t>
      </w:r>
      <w:r w:rsidR="003479AC" w:rsidRPr="003479AC">
        <w:rPr>
          <w:rFonts w:ascii="宋体" w:eastAsia="宋体" w:hAnsi="宋体"/>
          <w:sz w:val="24"/>
        </w:rPr>
        <w:t>的迁移方向中可用。</w:t>
      </w:r>
    </w:p>
    <w:p w14:paraId="4966F5CC" w14:textId="77777777" w:rsidR="00D630B6" w:rsidRDefault="00D630B6" w:rsidP="00D16C42">
      <w:pPr>
        <w:jc w:val="both"/>
        <w:rPr>
          <w:rFonts w:ascii="黑体" w:eastAsia="黑体" w:hAnsi="黑体" w:hint="eastAsia"/>
          <w:sz w:val="28"/>
          <w:szCs w:val="28"/>
        </w:rPr>
      </w:pPr>
      <w:r>
        <w:rPr>
          <w:rFonts w:ascii="黑体" w:eastAsia="黑体" w:hAnsi="黑体" w:hint="eastAsia"/>
          <w:sz w:val="28"/>
          <w:szCs w:val="28"/>
        </w:rPr>
        <w:t>恢复与应力测试分析</w:t>
      </w:r>
    </w:p>
    <w:p w14:paraId="0DF08022" w14:textId="77777777" w:rsidR="00F1299C" w:rsidRPr="00F1299C" w:rsidRDefault="00F1299C" w:rsidP="00D16C42">
      <w:pPr>
        <w:jc w:val="both"/>
        <w:rPr>
          <w:rFonts w:ascii="宋体" w:eastAsia="宋体" w:hAnsi="宋体" w:hint="eastAsia"/>
          <w:sz w:val="24"/>
        </w:rPr>
      </w:pPr>
      <w:r>
        <w:rPr>
          <w:rFonts w:ascii="宋体" w:eastAsia="宋体" w:hAnsi="宋体"/>
          <w:sz w:val="24"/>
        </w:rPr>
        <w:t>恢复-代价分析以朴素 CP 为基线条件，比较三类覆盖恢复策略（目标域重校准，标注预算5/10/20/30%；weighted CP；协议条件（组加权）重校准），并报告目标标注数、覆盖率、PD 覆盖（PD 受试者中的覆盖率）、平均集合大小、单例率与拒绝率（全集输出即弃权的比例）。恢复代价沿两个维度度量：目标域标注量为信息代价，平均集合大小、单例率与拒绝率为预测集效率代价。恢复结果按照前述0.80审计阈值及其置信区间判定规则进行判定。</w:t>
      </w:r>
    </w:p>
    <w:p w14:paraId="5E7056D7" w14:textId="77777777" w:rsidR="00F1299C" w:rsidRPr="00F1299C" w:rsidRDefault="00F1299C" w:rsidP="00D16C42">
      <w:pPr>
        <w:jc w:val="both"/>
        <w:rPr>
          <w:rFonts w:ascii="宋体" w:eastAsia="宋体" w:hAnsi="宋体" w:hint="eastAsia"/>
          <w:sz w:val="24"/>
        </w:rPr>
      </w:pPr>
      <w:r>
        <w:rPr>
          <w:rFonts w:ascii="宋体" w:eastAsia="宋体" w:hAnsi="宋体"/>
          <w:sz w:val="24"/>
        </w:rPr>
        <w:t xml:space="preserve">三类应力测试分别评估候选机制能否产生与观察结果一致的覆盖或分布特征。首先，在合成剂量-反应实验中，对 PD 类、HC 类或 PD/HC 两类的受试者标签按10%、20%和30%的剂量实施受试者级翻转，并与 Einbinder 等[9]的分散性噪声理论对照：按该理论要求，检验翻转后校准分数分布相对干净校准分数分布的随机占优关系；依 LAC 评分方向（分数越高越偏离真实标签），理论预期为翻转后分布一阶随机占优干净分布，即对任意分数阈值，翻转后分布超过该阈值的概率不低于干净分布。其次，在 </w:t>
      </w:r>
      <w:proofErr w:type="spellStart"/>
      <w:r>
        <w:rPr>
          <w:rFonts w:ascii="宋体" w:eastAsia="宋体" w:hAnsi="宋体"/>
          <w:sz w:val="24"/>
        </w:rPr>
        <w:t>MIT→Tappy</w:t>
      </w:r>
      <w:proofErr w:type="spellEnd"/>
      <w:r>
        <w:rPr>
          <w:rFonts w:ascii="宋体" w:eastAsia="宋体" w:hAnsi="宋体"/>
          <w:sz w:val="24"/>
        </w:rPr>
        <w:t xml:space="preserve"> 方向设置三种操纵情形：将源队列重采样匹配至预注册的目标患病率74%、保持患病率不变的双向标签翻转，以及两者叠加，以预设实用等价容差（覆盖率±5个百分点、平均集合大小±0.3）进行判定。最后，采用黑盒移位估计（BBSE）[16]：在标签偏移假设 P(</w:t>
      </w:r>
      <w:proofErr w:type="spellStart"/>
      <w:r>
        <w:rPr>
          <w:rFonts w:ascii="宋体" w:eastAsia="宋体" w:hAnsi="宋体"/>
          <w:sz w:val="24"/>
        </w:rPr>
        <w:t>x|y</w:t>
      </w:r>
      <w:proofErr w:type="spellEnd"/>
      <w:r>
        <w:rPr>
          <w:rFonts w:ascii="宋体" w:eastAsia="宋体" w:hAnsi="宋体"/>
          <w:sz w:val="24"/>
        </w:rPr>
        <w:t>)不变的条件下，以源训练分类器的类条件混淆矩阵估计目标患病率，经合成标签偏移场景验证后，对观察到的迁移方向仅作描述性应用。</w:t>
      </w:r>
    </w:p>
    <w:p w14:paraId="16C062AE" w14:textId="77777777" w:rsidR="00DB3623" w:rsidRPr="00DB3623" w:rsidRDefault="00DB3623" w:rsidP="00D16C42">
      <w:pPr>
        <w:jc w:val="both"/>
        <w:rPr>
          <w:rFonts w:ascii="宋体" w:eastAsia="宋体" w:hAnsi="宋体" w:hint="eastAsia"/>
          <w:sz w:val="24"/>
        </w:rPr>
      </w:pPr>
    </w:p>
    <w:sectPr w:rsidR="00DB3623" w:rsidRPr="00DB362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AABB7" w14:textId="77777777" w:rsidR="00D33FCB" w:rsidRDefault="00D33FCB" w:rsidP="00DE3705">
      <w:pPr>
        <w:spacing w:after="0" w:line="240" w:lineRule="auto"/>
        <w:rPr>
          <w:rFonts w:hint="eastAsia"/>
        </w:rPr>
      </w:pPr>
      <w:r>
        <w:separator/>
      </w:r>
    </w:p>
  </w:endnote>
  <w:endnote w:type="continuationSeparator" w:id="0">
    <w:p w14:paraId="440E9FDC" w14:textId="77777777" w:rsidR="00D33FCB" w:rsidRDefault="00D33FCB" w:rsidP="00DE37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E423" w14:textId="77777777" w:rsidR="00DB3623" w:rsidRDefault="00DB3623">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678E" w14:textId="77777777" w:rsidR="00DB3623" w:rsidRDefault="00DB3623">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98B6" w14:textId="77777777" w:rsidR="00DB3623" w:rsidRDefault="00DB3623">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7CCFA" w14:textId="77777777" w:rsidR="00D33FCB" w:rsidRDefault="00D33FCB" w:rsidP="00DE3705">
      <w:pPr>
        <w:spacing w:after="0" w:line="240" w:lineRule="auto"/>
        <w:rPr>
          <w:rFonts w:hint="eastAsia"/>
        </w:rPr>
      </w:pPr>
      <w:r>
        <w:separator/>
      </w:r>
    </w:p>
  </w:footnote>
  <w:footnote w:type="continuationSeparator" w:id="0">
    <w:p w14:paraId="020458AE" w14:textId="77777777" w:rsidR="00D33FCB" w:rsidRDefault="00D33FCB" w:rsidP="00DE370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86C0" w14:textId="77777777" w:rsidR="00DB3623" w:rsidRDefault="00DB3623">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B94C" w14:textId="77777777" w:rsidR="00DB3623" w:rsidRDefault="00DB3623">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31C0C" w14:textId="77777777" w:rsidR="00DB3623" w:rsidRDefault="00DB3623">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26264"/>
    <w:multiLevelType w:val="multilevel"/>
    <w:tmpl w:val="CA4E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483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33B"/>
    <w:rsid w:val="00006D91"/>
    <w:rsid w:val="000300BA"/>
    <w:rsid w:val="000352C7"/>
    <w:rsid w:val="000912AF"/>
    <w:rsid w:val="001113CF"/>
    <w:rsid w:val="00113239"/>
    <w:rsid w:val="00115761"/>
    <w:rsid w:val="0014047B"/>
    <w:rsid w:val="00140616"/>
    <w:rsid w:val="0014438E"/>
    <w:rsid w:val="001D1FEC"/>
    <w:rsid w:val="001F7EC9"/>
    <w:rsid w:val="00235BB3"/>
    <w:rsid w:val="002A5324"/>
    <w:rsid w:val="002E5FBE"/>
    <w:rsid w:val="00306272"/>
    <w:rsid w:val="003479AC"/>
    <w:rsid w:val="00350FE6"/>
    <w:rsid w:val="003517A0"/>
    <w:rsid w:val="003603D5"/>
    <w:rsid w:val="00397E46"/>
    <w:rsid w:val="003B22EF"/>
    <w:rsid w:val="00405CC6"/>
    <w:rsid w:val="00487ADE"/>
    <w:rsid w:val="004C3E74"/>
    <w:rsid w:val="004D4824"/>
    <w:rsid w:val="004F7237"/>
    <w:rsid w:val="005063FF"/>
    <w:rsid w:val="005431EC"/>
    <w:rsid w:val="00543AE5"/>
    <w:rsid w:val="00543D32"/>
    <w:rsid w:val="00555104"/>
    <w:rsid w:val="00574EBA"/>
    <w:rsid w:val="005D5829"/>
    <w:rsid w:val="005D5D65"/>
    <w:rsid w:val="005E2D76"/>
    <w:rsid w:val="00613AA0"/>
    <w:rsid w:val="006B7E3B"/>
    <w:rsid w:val="0070495B"/>
    <w:rsid w:val="00734AD8"/>
    <w:rsid w:val="007556BA"/>
    <w:rsid w:val="00774CD3"/>
    <w:rsid w:val="00795A70"/>
    <w:rsid w:val="007C6231"/>
    <w:rsid w:val="007F3DBB"/>
    <w:rsid w:val="00817B0E"/>
    <w:rsid w:val="008231D5"/>
    <w:rsid w:val="00860593"/>
    <w:rsid w:val="008D1F11"/>
    <w:rsid w:val="008E4B6C"/>
    <w:rsid w:val="00912B8C"/>
    <w:rsid w:val="00933938"/>
    <w:rsid w:val="00942EAD"/>
    <w:rsid w:val="00957246"/>
    <w:rsid w:val="00980E9E"/>
    <w:rsid w:val="009964FF"/>
    <w:rsid w:val="009B494E"/>
    <w:rsid w:val="009C14F1"/>
    <w:rsid w:val="009E22A7"/>
    <w:rsid w:val="009E5D9E"/>
    <w:rsid w:val="009E762D"/>
    <w:rsid w:val="00A23A67"/>
    <w:rsid w:val="00A44BC2"/>
    <w:rsid w:val="00A503FC"/>
    <w:rsid w:val="00A563FC"/>
    <w:rsid w:val="00A84194"/>
    <w:rsid w:val="00AA1637"/>
    <w:rsid w:val="00AA5AA2"/>
    <w:rsid w:val="00AE290C"/>
    <w:rsid w:val="00B01F0A"/>
    <w:rsid w:val="00B40A6F"/>
    <w:rsid w:val="00B46E7A"/>
    <w:rsid w:val="00BA45CA"/>
    <w:rsid w:val="00BB0DB1"/>
    <w:rsid w:val="00C00B4A"/>
    <w:rsid w:val="00D10490"/>
    <w:rsid w:val="00D16C42"/>
    <w:rsid w:val="00D33AB9"/>
    <w:rsid w:val="00D33FCB"/>
    <w:rsid w:val="00D3670F"/>
    <w:rsid w:val="00D539DC"/>
    <w:rsid w:val="00D5775B"/>
    <w:rsid w:val="00D630B6"/>
    <w:rsid w:val="00D83E93"/>
    <w:rsid w:val="00DB3623"/>
    <w:rsid w:val="00DC0675"/>
    <w:rsid w:val="00DE3705"/>
    <w:rsid w:val="00DE4B71"/>
    <w:rsid w:val="00E17B0A"/>
    <w:rsid w:val="00E557F8"/>
    <w:rsid w:val="00E7165F"/>
    <w:rsid w:val="00E7277C"/>
    <w:rsid w:val="00E772B4"/>
    <w:rsid w:val="00E9033B"/>
    <w:rsid w:val="00E92227"/>
    <w:rsid w:val="00EB0E33"/>
    <w:rsid w:val="00EB2335"/>
    <w:rsid w:val="00EC5254"/>
    <w:rsid w:val="00F05DDB"/>
    <w:rsid w:val="00F07F5C"/>
    <w:rsid w:val="00F1299C"/>
    <w:rsid w:val="00F26203"/>
    <w:rsid w:val="00F32071"/>
    <w:rsid w:val="00F523D5"/>
    <w:rsid w:val="00F70F2C"/>
    <w:rsid w:val="00F71178"/>
    <w:rsid w:val="00F7623D"/>
    <w:rsid w:val="00F80351"/>
    <w:rsid w:val="00F83BE4"/>
    <w:rsid w:val="00F909BD"/>
    <w:rsid w:val="00FB2F0D"/>
    <w:rsid w:val="00FB39D5"/>
    <w:rsid w:val="00FE6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EFBE13"/>
  <w15:chartTrackingRefBased/>
  <w15:docId w15:val="{81341E31-81E6-489B-9FA1-537D3A3FF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03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03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03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03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033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9033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033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033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9033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033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033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033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033B"/>
    <w:rPr>
      <w:rFonts w:cstheme="majorBidi"/>
      <w:color w:val="0F4761" w:themeColor="accent1" w:themeShade="BF"/>
      <w:sz w:val="28"/>
      <w:szCs w:val="28"/>
    </w:rPr>
  </w:style>
  <w:style w:type="character" w:customStyle="1" w:styleId="50">
    <w:name w:val="标题 5 字符"/>
    <w:basedOn w:val="a0"/>
    <w:link w:val="5"/>
    <w:uiPriority w:val="9"/>
    <w:semiHidden/>
    <w:rsid w:val="00E9033B"/>
    <w:rPr>
      <w:rFonts w:cstheme="majorBidi"/>
      <w:color w:val="0F4761" w:themeColor="accent1" w:themeShade="BF"/>
      <w:sz w:val="24"/>
    </w:rPr>
  </w:style>
  <w:style w:type="character" w:customStyle="1" w:styleId="60">
    <w:name w:val="标题 6 字符"/>
    <w:basedOn w:val="a0"/>
    <w:link w:val="6"/>
    <w:uiPriority w:val="9"/>
    <w:semiHidden/>
    <w:rsid w:val="00E9033B"/>
    <w:rPr>
      <w:rFonts w:cstheme="majorBidi"/>
      <w:b/>
      <w:bCs/>
      <w:color w:val="0F4761" w:themeColor="accent1" w:themeShade="BF"/>
    </w:rPr>
  </w:style>
  <w:style w:type="character" w:customStyle="1" w:styleId="70">
    <w:name w:val="标题 7 字符"/>
    <w:basedOn w:val="a0"/>
    <w:link w:val="7"/>
    <w:uiPriority w:val="9"/>
    <w:semiHidden/>
    <w:rsid w:val="00E9033B"/>
    <w:rPr>
      <w:rFonts w:cstheme="majorBidi"/>
      <w:b/>
      <w:bCs/>
      <w:color w:val="595959" w:themeColor="text1" w:themeTint="A6"/>
    </w:rPr>
  </w:style>
  <w:style w:type="character" w:customStyle="1" w:styleId="80">
    <w:name w:val="标题 8 字符"/>
    <w:basedOn w:val="a0"/>
    <w:link w:val="8"/>
    <w:uiPriority w:val="9"/>
    <w:semiHidden/>
    <w:rsid w:val="00E9033B"/>
    <w:rPr>
      <w:rFonts w:cstheme="majorBidi"/>
      <w:color w:val="595959" w:themeColor="text1" w:themeTint="A6"/>
    </w:rPr>
  </w:style>
  <w:style w:type="character" w:customStyle="1" w:styleId="90">
    <w:name w:val="标题 9 字符"/>
    <w:basedOn w:val="a0"/>
    <w:link w:val="9"/>
    <w:uiPriority w:val="9"/>
    <w:semiHidden/>
    <w:rsid w:val="00E9033B"/>
    <w:rPr>
      <w:rFonts w:eastAsiaTheme="majorEastAsia" w:cstheme="majorBidi"/>
      <w:color w:val="595959" w:themeColor="text1" w:themeTint="A6"/>
    </w:rPr>
  </w:style>
  <w:style w:type="paragraph" w:styleId="a3">
    <w:name w:val="Title"/>
    <w:basedOn w:val="a"/>
    <w:next w:val="a"/>
    <w:link w:val="a4"/>
    <w:uiPriority w:val="10"/>
    <w:qFormat/>
    <w:rsid w:val="00E903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03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03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03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033B"/>
    <w:pPr>
      <w:spacing w:before="160"/>
      <w:jc w:val="center"/>
    </w:pPr>
    <w:rPr>
      <w:i/>
      <w:iCs/>
      <w:color w:val="404040" w:themeColor="text1" w:themeTint="BF"/>
    </w:rPr>
  </w:style>
  <w:style w:type="character" w:customStyle="1" w:styleId="a8">
    <w:name w:val="引用 字符"/>
    <w:basedOn w:val="a0"/>
    <w:link w:val="a7"/>
    <w:uiPriority w:val="29"/>
    <w:rsid w:val="00E9033B"/>
    <w:rPr>
      <w:i/>
      <w:iCs/>
      <w:color w:val="404040" w:themeColor="text1" w:themeTint="BF"/>
    </w:rPr>
  </w:style>
  <w:style w:type="paragraph" w:styleId="a9">
    <w:name w:val="List Paragraph"/>
    <w:basedOn w:val="a"/>
    <w:uiPriority w:val="34"/>
    <w:qFormat/>
    <w:rsid w:val="00E9033B"/>
    <w:pPr>
      <w:ind w:left="720"/>
      <w:contextualSpacing/>
    </w:pPr>
  </w:style>
  <w:style w:type="character" w:styleId="aa">
    <w:name w:val="Intense Emphasis"/>
    <w:basedOn w:val="a0"/>
    <w:uiPriority w:val="21"/>
    <w:qFormat/>
    <w:rsid w:val="00E9033B"/>
    <w:rPr>
      <w:i/>
      <w:iCs/>
      <w:color w:val="0F4761" w:themeColor="accent1" w:themeShade="BF"/>
    </w:rPr>
  </w:style>
  <w:style w:type="paragraph" w:styleId="ab">
    <w:name w:val="Intense Quote"/>
    <w:basedOn w:val="a"/>
    <w:next w:val="a"/>
    <w:link w:val="ac"/>
    <w:uiPriority w:val="30"/>
    <w:qFormat/>
    <w:rsid w:val="00E90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033B"/>
    <w:rPr>
      <w:i/>
      <w:iCs/>
      <w:color w:val="0F4761" w:themeColor="accent1" w:themeShade="BF"/>
    </w:rPr>
  </w:style>
  <w:style w:type="character" w:styleId="ad">
    <w:name w:val="Intense Reference"/>
    <w:basedOn w:val="a0"/>
    <w:uiPriority w:val="32"/>
    <w:qFormat/>
    <w:rsid w:val="00E9033B"/>
    <w:rPr>
      <w:b/>
      <w:bCs/>
      <w:smallCaps/>
      <w:color w:val="0F4761" w:themeColor="accent1" w:themeShade="BF"/>
      <w:spacing w:val="5"/>
    </w:rPr>
  </w:style>
  <w:style w:type="paragraph" w:styleId="ae">
    <w:name w:val="header"/>
    <w:basedOn w:val="a"/>
    <w:link w:val="af"/>
    <w:uiPriority w:val="99"/>
    <w:unhideWhenUsed/>
    <w:rsid w:val="00DE370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E3705"/>
    <w:rPr>
      <w:sz w:val="18"/>
      <w:szCs w:val="18"/>
    </w:rPr>
  </w:style>
  <w:style w:type="paragraph" w:styleId="af0">
    <w:name w:val="footer"/>
    <w:basedOn w:val="a"/>
    <w:link w:val="af1"/>
    <w:uiPriority w:val="99"/>
    <w:unhideWhenUsed/>
    <w:rsid w:val="00DE370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E3705"/>
    <w:rPr>
      <w:sz w:val="18"/>
      <w:szCs w:val="18"/>
    </w:rPr>
  </w:style>
  <w:style w:type="paragraph" w:customStyle="1" w:styleId="FirstParagraph">
    <w:name w:val="First Paragraph"/>
    <w:basedOn w:val="af2"/>
    <w:next w:val="af2"/>
    <w:qFormat/>
    <w:rsid w:val="00DE3705"/>
    <w:pPr>
      <w:widowControl/>
      <w:spacing w:before="180" w:after="180" w:line="240" w:lineRule="auto"/>
    </w:pPr>
    <w:rPr>
      <w:kern w:val="0"/>
      <w:sz w:val="24"/>
      <w14:ligatures w14:val="none"/>
    </w:rPr>
  </w:style>
  <w:style w:type="paragraph" w:styleId="af2">
    <w:name w:val="Body Text"/>
    <w:basedOn w:val="a"/>
    <w:link w:val="af3"/>
    <w:uiPriority w:val="99"/>
    <w:semiHidden/>
    <w:unhideWhenUsed/>
    <w:rsid w:val="00DE3705"/>
    <w:pPr>
      <w:spacing w:after="120"/>
    </w:pPr>
  </w:style>
  <w:style w:type="character" w:customStyle="1" w:styleId="af3">
    <w:name w:val="正文文本 字符"/>
    <w:basedOn w:val="a0"/>
    <w:link w:val="af2"/>
    <w:uiPriority w:val="99"/>
    <w:semiHidden/>
    <w:rsid w:val="00DE3705"/>
  </w:style>
  <w:style w:type="paragraph" w:styleId="af4">
    <w:name w:val="Normal (Web)"/>
    <w:basedOn w:val="a"/>
    <w:uiPriority w:val="99"/>
    <w:semiHidden/>
    <w:unhideWhenUsed/>
    <w:rsid w:val="00DE370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DFCEA-C722-4FA5-B024-7B90B2312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4</Pages>
  <Words>1990</Words>
  <Characters>2449</Characters>
  <Application>Microsoft Office Word</Application>
  <DocSecurity>0</DocSecurity>
  <Lines>72</Lines>
  <Paragraphs>23</Paragraphs>
  <ScaleCrop>false</ScaleCrop>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浩天 光</dc:creator>
  <cp:keywords/>
  <dc:description/>
  <cp:lastModifiedBy>浩天 光</cp:lastModifiedBy>
  <cp:revision>64</cp:revision>
  <dcterms:created xsi:type="dcterms:W3CDTF">2026-09-30T11:29:00Z</dcterms:created>
  <dcterms:modified xsi:type="dcterms:W3CDTF">2026-10-07T08:31:00Z</dcterms:modified>
</cp:coreProperties>
</file>