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D3C00" w14:textId="77777777" w:rsidR="0081536F" w:rsidRDefault="00000000" w:rsidP="002C2BC6">
      <w:pPr>
        <w:jc w:val="both"/>
        <w:rPr>
          <w:rFonts w:hint="eastAsia"/>
        </w:rPr>
      </w:pPr>
      <w:r>
        <w:rPr>
          <w:rFonts w:ascii="黑体" w:eastAsia="黑体" w:hAnsi="黑体"/>
          <w:sz w:val="32"/>
        </w:rPr>
        <w:t>结果</w:t>
      </w:r>
    </w:p>
    <w:p w14:paraId="2A14960C" w14:textId="77777777" w:rsidR="00A37567" w:rsidRDefault="00000000" w:rsidP="002C2BC6">
      <w:pPr>
        <w:jc w:val="both"/>
        <w:rPr>
          <w:rFonts w:hint="eastAsia"/>
        </w:rPr>
      </w:pPr>
      <w:r>
        <w:rPr>
          <w:rFonts w:ascii="黑体" w:eastAsia="黑体" w:hAnsi="黑体"/>
          <w:sz w:val="28"/>
        </w:rPr>
        <w:t>分析队列与模型验收</w:t>
      </w:r>
    </w:p>
    <w:p w14:paraId="0EBE7B69" w14:textId="0E69F10F" w:rsidR="0081536F" w:rsidRPr="00A37567" w:rsidRDefault="00000000" w:rsidP="002C2BC6">
      <w:pPr>
        <w:jc w:val="both"/>
        <w:rPr>
          <w:rFonts w:hint="eastAsia"/>
          <w:sz w:val="24"/>
        </w:rPr>
      </w:pPr>
      <w:r w:rsidRPr="00A37567">
        <w:rPr>
          <w:rFonts w:ascii="宋体" w:eastAsia="宋体" w:hAnsi="宋体"/>
          <w:sz w:val="24"/>
        </w:rPr>
        <w:t>四个数据集的最终分析队列</w:t>
      </w:r>
      <w:r w:rsidR="006647B5" w:rsidRPr="00A37567">
        <w:rPr>
          <w:rFonts w:ascii="宋体" w:eastAsia="宋体" w:hAnsi="宋体" w:hint="eastAsia"/>
          <w:sz w:val="24"/>
        </w:rPr>
        <w:t>共</w:t>
      </w:r>
      <w:r w:rsidR="006647B5" w:rsidRPr="00A37567">
        <w:rPr>
          <w:rFonts w:ascii="宋体" w:eastAsia="宋体" w:hAnsi="宋体"/>
          <w:sz w:val="24"/>
        </w:rPr>
        <w:t>475</w:t>
      </w:r>
      <w:r w:rsidRPr="00A37567">
        <w:rPr>
          <w:rFonts w:ascii="宋体" w:eastAsia="宋体" w:hAnsi="宋体"/>
          <w:sz w:val="24"/>
        </w:rPr>
        <w:t>名受试者（PD 270，HC 205；MIT 82、Tappy 173、</w:t>
      </w:r>
      <w:proofErr w:type="spellStart"/>
      <w:r w:rsidRPr="00A37567">
        <w:rPr>
          <w:rFonts w:ascii="宋体" w:eastAsia="宋体" w:hAnsi="宋体"/>
          <w:sz w:val="24"/>
        </w:rPr>
        <w:t>TyPD</w:t>
      </w:r>
      <w:proofErr w:type="spellEnd"/>
      <w:r w:rsidRPr="00A37567">
        <w:rPr>
          <w:rFonts w:ascii="宋体" w:eastAsia="宋体" w:hAnsi="宋体"/>
          <w:sz w:val="24"/>
        </w:rPr>
        <w:t xml:space="preserve"> 27、OE 193；</w:t>
      </w:r>
      <w:r w:rsidR="006647B5" w:rsidRPr="00A37567">
        <w:rPr>
          <w:rFonts w:ascii="宋体" w:eastAsia="宋体" w:hAnsi="宋体" w:hint="eastAsia"/>
          <w:sz w:val="24"/>
        </w:rPr>
        <w:t>表</w:t>
      </w:r>
      <w:r w:rsidR="006647B5" w:rsidRPr="00A37567">
        <w:rPr>
          <w:rFonts w:ascii="宋体" w:eastAsia="宋体" w:hAnsi="宋体"/>
          <w:sz w:val="24"/>
        </w:rPr>
        <w:t>1</w:t>
      </w:r>
      <w:r w:rsidRPr="00A37567">
        <w:rPr>
          <w:rFonts w:ascii="宋体" w:eastAsia="宋体" w:hAnsi="宋体"/>
          <w:sz w:val="24"/>
        </w:rPr>
        <w:t xml:space="preserve">）。原定主模型 </w:t>
      </w:r>
      <w:proofErr w:type="spellStart"/>
      <w:r w:rsidRPr="00A37567">
        <w:rPr>
          <w:rFonts w:ascii="宋体" w:eastAsia="宋体" w:hAnsi="宋体"/>
          <w:sz w:val="24"/>
        </w:rPr>
        <w:t>LightGBM</w:t>
      </w:r>
      <w:proofErr w:type="spellEnd"/>
      <w:r w:rsidRPr="00A37567">
        <w:rPr>
          <w:rFonts w:ascii="宋体" w:eastAsia="宋体" w:hAnsi="宋体"/>
          <w:sz w:val="24"/>
        </w:rPr>
        <w:t xml:space="preserve"> 的三套配置在 MIT 源域验收集上的平均测试 AUC 分别</w:t>
      </w:r>
      <w:r w:rsidR="006647B5" w:rsidRPr="00A37567">
        <w:rPr>
          <w:rFonts w:ascii="宋体" w:eastAsia="宋体" w:hAnsi="宋体" w:hint="eastAsia"/>
          <w:sz w:val="24"/>
        </w:rPr>
        <w:t>为</w:t>
      </w:r>
      <w:r w:rsidR="006647B5" w:rsidRPr="00A37567">
        <w:rPr>
          <w:rFonts w:ascii="宋体" w:eastAsia="宋体" w:hAnsi="宋体"/>
          <w:sz w:val="24"/>
        </w:rPr>
        <w:t>0.500</w:t>
      </w:r>
      <w:r w:rsidRPr="00A37567">
        <w:rPr>
          <w:rFonts w:ascii="宋体" w:eastAsia="宋体" w:hAnsi="宋体"/>
          <w:sz w:val="24"/>
        </w:rPr>
        <w:t>、</w:t>
      </w:r>
      <w:r w:rsidR="006647B5" w:rsidRPr="00A37567">
        <w:rPr>
          <w:rFonts w:ascii="宋体" w:eastAsia="宋体" w:hAnsi="宋体"/>
          <w:sz w:val="24"/>
        </w:rPr>
        <w:t>0.707与0.726</w:t>
      </w:r>
      <w:r w:rsidRPr="00A37567">
        <w:rPr>
          <w:rFonts w:ascii="宋体" w:eastAsia="宋体" w:hAnsi="宋体"/>
          <w:sz w:val="24"/>
        </w:rPr>
        <w:t>，均未达到预设验收区间（0.75–0.91）</w:t>
      </w:r>
      <w:r w:rsidR="006647B5">
        <w:rPr>
          <w:rFonts w:ascii="宋体" w:eastAsia="宋体" w:hAnsi="宋体" w:hint="eastAsia"/>
          <w:sz w:val="24"/>
        </w:rPr>
        <w:t>。</w:t>
      </w:r>
      <w:r w:rsidRPr="00A37567">
        <w:rPr>
          <w:rFonts w:ascii="宋体" w:eastAsia="宋体" w:hAnsi="宋体"/>
          <w:sz w:val="24"/>
        </w:rPr>
        <w:t xml:space="preserve">逻辑回归在同一评估下的平均测试 AUC </w:t>
      </w:r>
      <w:r w:rsidR="006647B5" w:rsidRPr="00A37567">
        <w:rPr>
          <w:rFonts w:ascii="宋体" w:eastAsia="宋体" w:hAnsi="宋体" w:hint="eastAsia"/>
          <w:sz w:val="24"/>
        </w:rPr>
        <w:t>为</w:t>
      </w:r>
      <w:r w:rsidR="006647B5" w:rsidRPr="00A37567">
        <w:rPr>
          <w:rFonts w:ascii="宋体" w:eastAsia="宋体" w:hAnsi="宋体"/>
          <w:sz w:val="24"/>
        </w:rPr>
        <w:t>0.787</w:t>
      </w:r>
      <w:r w:rsidRPr="00A37567">
        <w:rPr>
          <w:rFonts w:ascii="宋体" w:eastAsia="宋体" w:hAnsi="宋体"/>
          <w:sz w:val="24"/>
        </w:rPr>
        <w:t>，</w:t>
      </w:r>
      <w:r w:rsidR="006647B5">
        <w:rPr>
          <w:rFonts w:ascii="宋体" w:eastAsia="宋体" w:hAnsi="宋体" w:hint="eastAsia"/>
          <w:sz w:val="24"/>
        </w:rPr>
        <w:t>处于</w:t>
      </w:r>
      <w:r w:rsidRPr="00A37567">
        <w:rPr>
          <w:rFonts w:ascii="宋体" w:eastAsia="宋体" w:hAnsi="宋体"/>
          <w:sz w:val="24"/>
        </w:rPr>
        <w:t>区间内。按预注册协议修订（CHG-P1），逻辑回归改设为主参照模型，LightGBM 作为对照模型报告。</w:t>
      </w:r>
    </w:p>
    <w:p w14:paraId="3C912C1C" w14:textId="77777777" w:rsidR="0081536F" w:rsidRDefault="00000000" w:rsidP="002C2BC6">
      <w:pPr>
        <w:jc w:val="both"/>
        <w:rPr>
          <w:rFonts w:hint="eastAsia"/>
        </w:rPr>
      </w:pPr>
      <w:r>
        <w:rPr>
          <w:rFonts w:ascii="黑体" w:eastAsia="黑体" w:hAnsi="黑体"/>
          <w:sz w:val="28"/>
        </w:rPr>
        <w:t>跨数据集边际覆盖审计</w:t>
      </w:r>
    </w:p>
    <w:p w14:paraId="2855F428" w14:textId="77777777" w:rsidR="0081536F" w:rsidRDefault="00000000" w:rsidP="002C2BC6">
      <w:pPr>
        <w:jc w:val="both"/>
        <w:rPr>
          <w:rFonts w:hint="eastAsia"/>
        </w:rPr>
      </w:pPr>
      <w:r>
        <w:rPr>
          <w:rFonts w:ascii="宋体" w:eastAsia="宋体" w:hAnsi="宋体"/>
          <w:sz w:val="24"/>
        </w:rPr>
        <w:t>三个确证性迁移方向分别在 82、173 和 366 名目标受试者上评估（表 1）。在家族错误率控制下，三个方向的单侧检验均于 Holm 校正后拒绝“真实覆盖率 ≥ 0.90”的原假设（表 2，图 1）：Tappy→MIT 0.598 [0.483, 0.704]（校正后 p = 1.2×10⁻¹²）、MIT→Tappy 0.850 [0.788, 0.899]（校正后 p = 0.023）、临床池（MIT+TyPD）→自报（Tappy+OE）0.732 [0.684, 0.777]（校正后 p = 2.5×10⁻¹⁹）；按预设的覆盖审计规则，三个方向均归为不相容（表 2）。</w:t>
      </w:r>
    </w:p>
    <w:p w14:paraId="04846F09" w14:textId="07A01D74" w:rsidR="0081536F" w:rsidRDefault="00000000" w:rsidP="002C2BC6">
      <w:pPr>
        <w:jc w:val="both"/>
        <w:rPr>
          <w:rFonts w:hint="eastAsia"/>
        </w:rPr>
      </w:pPr>
      <w:r>
        <w:rPr>
          <w:rFonts w:ascii="宋体" w:eastAsia="宋体" w:hAnsi="宋体"/>
          <w:sz w:val="24"/>
        </w:rPr>
        <w:t>三个确证方向的平均集合大小为1.11–1.53，单例率为0.47–0.89（获得单标签预测集的受试者比例），全集输出率（预测集包含全部类别，即弃权）相应为11%、53%与30%。全部12个有序迁移方向的完整审计矩阵见补充材料表S2。</w:t>
      </w:r>
    </w:p>
    <w:p w14:paraId="67A47134" w14:textId="77777777" w:rsidR="0081536F" w:rsidRDefault="00000000" w:rsidP="002C2BC6">
      <w:pPr>
        <w:jc w:val="both"/>
        <w:rPr>
          <w:rFonts w:hint="eastAsia"/>
        </w:rPr>
      </w:pPr>
      <w:r>
        <w:rPr>
          <w:rFonts w:ascii="黑体" w:eastAsia="黑体" w:hAnsi="黑体"/>
          <w:sz w:val="28"/>
        </w:rPr>
        <w:t>覆盖–判别解耦</w:t>
      </w:r>
    </w:p>
    <w:p w14:paraId="26A2BB7A" w14:textId="77777777" w:rsidR="002616F1" w:rsidRDefault="00000000" w:rsidP="002C2BC6">
      <w:pPr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在 12 个描述性迁移方向上，主参照模型的 AUC 为 0.55–0.81（50 种子均值），边际覆盖率为 0.58–0.91（完整 AUC 矩阵见图 2）。各方向相对库内参照的 AUC 偏差与覆盖率相对名义0.90的偏离未呈同步模式（图3）：12个方向中，3个方向的 AUC 达到或超过库内参照（偏差 +0.005至 +0.026），其中2个方向的覆盖率仍低于名义水平5个百分点以上。其余9个方向的AUC均低于库内参照，覆盖率也低于名义0.90。互逆的两个确证方向呈相反排序：MIT→Tappy 的 AUC 偏差更大（−0.201对−0.115），覆盖偏离反而更小（低于名义水平4.7对23.1个百分点，50种子均值）。</w:t>
      </w:r>
    </w:p>
    <w:p w14:paraId="2A97B5ED" w14:textId="0D6B6397" w:rsidR="0081536F" w:rsidRPr="002616F1" w:rsidRDefault="002616F1" w:rsidP="002C2BC6">
      <w:pPr>
        <w:jc w:val="both"/>
        <w:rPr>
          <w:rFonts w:ascii="宋体" w:eastAsia="宋体" w:hAnsi="宋体" w:hint="eastAsia"/>
          <w:sz w:val="24"/>
        </w:rPr>
      </w:pPr>
      <w:r w:rsidRPr="002616F1">
        <w:rPr>
          <w:rFonts w:ascii="宋体" w:eastAsia="宋体" w:hAnsi="宋体"/>
          <w:sz w:val="24"/>
        </w:rPr>
        <w:t>跨模型对照提供独立证据：</w:t>
      </w:r>
      <w:proofErr w:type="spellStart"/>
      <w:r w:rsidRPr="002616F1">
        <w:rPr>
          <w:rFonts w:ascii="宋体" w:eastAsia="宋体" w:hAnsi="宋体"/>
          <w:sz w:val="24"/>
        </w:rPr>
        <w:t>LightGBM</w:t>
      </w:r>
      <w:proofErr w:type="spellEnd"/>
      <w:r w:rsidRPr="002616F1">
        <w:rPr>
          <w:rFonts w:ascii="宋体" w:eastAsia="宋体" w:hAnsi="宋体"/>
          <w:sz w:val="24"/>
        </w:rPr>
        <w:t xml:space="preserve"> 在12个方向的 AUC 均低于主参照（0.526–0.778）</w:t>
      </w:r>
      <w:r>
        <w:rPr>
          <w:rFonts w:ascii="宋体" w:eastAsia="宋体" w:hAnsi="宋体"/>
          <w:sz w:val="24"/>
        </w:rPr>
        <w:t>，边际覆盖却在</w:t>
      </w:r>
      <w:r w:rsidR="002C2BC6">
        <w:rPr>
          <w:rFonts w:ascii="宋体" w:eastAsia="宋体" w:hAnsi="宋体" w:hint="eastAsia"/>
          <w:sz w:val="24"/>
        </w:rPr>
        <w:t>其中</w:t>
      </w:r>
      <w:r w:rsidR="002C2BC6">
        <w:rPr>
          <w:rFonts w:ascii="宋体" w:eastAsia="宋体" w:hAnsi="宋体"/>
          <w:sz w:val="24"/>
        </w:rPr>
        <w:t>11</w:t>
      </w:r>
      <w:r>
        <w:rPr>
          <w:rFonts w:ascii="宋体" w:eastAsia="宋体" w:hAnsi="宋体"/>
          <w:sz w:val="24"/>
        </w:rPr>
        <w:t>个方向更高（1个方向除外），在三个确证方向达到0.963–0.988，伴随更大的预测集与更低的单例率（平均集合大小1.92–1.97；单例率0.03–0.08）。</w:t>
      </w:r>
    </w:p>
    <w:p w14:paraId="192B1D5E" w14:textId="77777777" w:rsidR="0081536F" w:rsidRDefault="00000000" w:rsidP="002C2BC6">
      <w:pPr>
        <w:jc w:val="both"/>
        <w:rPr>
          <w:rFonts w:hint="eastAsia"/>
        </w:rPr>
      </w:pPr>
      <w:r>
        <w:rPr>
          <w:rFonts w:ascii="黑体" w:eastAsia="黑体" w:hAnsi="黑体"/>
          <w:sz w:val="28"/>
        </w:rPr>
        <w:lastRenderedPageBreak/>
        <w:t>类条件覆盖</w:t>
      </w:r>
    </w:p>
    <w:p w14:paraId="26125194" w14:textId="290E2A84" w:rsidR="0081536F" w:rsidRDefault="00000000" w:rsidP="002C2BC6">
      <w:pPr>
        <w:jc w:val="both"/>
        <w:rPr>
          <w:rFonts w:hint="eastAsia"/>
        </w:rPr>
      </w:pPr>
      <w:r>
        <w:rPr>
          <w:rFonts w:ascii="宋体" w:eastAsia="宋体" w:hAnsi="宋体"/>
          <w:sz w:val="24"/>
        </w:rPr>
        <w:t>在 Tappy→MIT 方向，PD 条件覆盖率为0.214 [0.103,0.368]（n = 42），HC 条件覆盖率为1.000（n = 40）：42名 PD 受试者中33名（78.6%）得到的预测集不含其真实标签（图4）。其中34名获得单例集（PD 单例率0.810），仅9人被覆盖，33个未命中中至少25个为仅含 HC 标签的单例预测集。三个目标队列的 PD 占比分别为 51%（42/82）、77%（133/173）与 59%（216/366）。在 PD 占比最高的两个目标队列中，覆盖不足的一侧均为 HC（MIT→Tappy 0.700，n = 40；临床池→自报 0.627，n = 150）；在占比最低、两类接近均衡的 Tappy→MIT 中，覆盖不足的一侧为 PD。对照模型的类条件覆盖接近均匀（0.925–1.000）。</w:t>
      </w:r>
    </w:p>
    <w:p w14:paraId="27D0579C" w14:textId="77777777" w:rsidR="0081536F" w:rsidRDefault="00000000" w:rsidP="002C2BC6">
      <w:pPr>
        <w:jc w:val="both"/>
        <w:rPr>
          <w:rFonts w:hint="eastAsia"/>
        </w:rPr>
      </w:pPr>
      <w:r>
        <w:rPr>
          <w:rFonts w:ascii="黑体" w:eastAsia="黑体" w:hAnsi="黑体"/>
          <w:sz w:val="28"/>
        </w:rPr>
        <w:t>覆盖恢复与效率代价</w:t>
      </w:r>
    </w:p>
    <w:p w14:paraId="15776E92" w14:textId="2CAEF02A" w:rsidR="009943C3" w:rsidRDefault="00000000" w:rsidP="002C2BC6">
      <w:pPr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MIT→Tappy 方向的覆盖由0.850升至0.982 [0.947,0.996]（9个目标域标注，5%预算，评估于其余164名受试者，图5）；临床池→自报方向由0.732升至0.876 [0.837,0.909]（18个目标域标注，5%预算）：两方向的95%置信区间下限均达到预设的0.80覆盖审计阈值；MIT→Tappy 的95%置信区间完全高于名义覆盖水平0.90，临床池→自报的下界（0.837）位于0.80与0.90之间。目标域重校准的恢复效果具有明显的方向依赖。而Tappy→MIT 则不同：覆盖率由0.598升至0.833（16个目标域标注，20%），到30%预算（25个目标域标注）为0.877 [0.763,0.949]，置信区间下界仍未达到0.80，且 PD 条件残差持续存在（0.759，HC 为1.000）。合池重校准提高了边际覆盖率，但未消除类条件缺口。目标域标注少于9个时，k = ⌈（n_cal + 1）(1−α）⌉超过校准样本数，预测集退化为全集（Tappy→MIT 的5%与10%预算即属此列）。</w:t>
      </w:r>
    </w:p>
    <w:p w14:paraId="58157C6A" w14:textId="2709F4A3" w:rsidR="009943C3" w:rsidRPr="009943C3" w:rsidRDefault="009943C3" w:rsidP="009943C3">
      <w:pPr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在不增加目标域标注的条件下，进一步评估利用目标域无标签分布信息进行恢复的可行性。密度比加权将三个确证方向的边际覆盖率提高至0.918–1.000，但对86–100%的受试者输出全集（弃权；拒绝率0.86–1.00；图6），显示边际覆盖恢复伴随明显的预测效率损失。</w:t>
      </w:r>
    </w:p>
    <w:p w14:paraId="5BBC5C4E" w14:textId="15BC3E73" w:rsidR="0081536F" w:rsidRPr="009943C3" w:rsidRDefault="009943C3" w:rsidP="002C2BC6">
      <w:pPr>
        <w:jc w:val="both"/>
        <w:rPr>
          <w:rFonts w:ascii="宋体" w:eastAsia="宋体" w:hAnsi="宋体" w:hint="eastAsia"/>
          <w:sz w:val="24"/>
        </w:rPr>
      </w:pPr>
      <w:r w:rsidRPr="009943C3">
        <w:rPr>
          <w:rFonts w:ascii="宋体" w:eastAsia="宋体" w:hAnsi="宋体"/>
          <w:sz w:val="24"/>
        </w:rPr>
        <w:t>除目标域标签和无标签分布信息外，采集协议提供了另一种可预先识别的目标域分层信息。按采集协议分别计算校准分位数后，双协议合并目标</w:t>
      </w:r>
      <w:r w:rsidRPr="009943C3">
        <w:rPr>
          <w:rFonts w:ascii="宋体" w:eastAsia="宋体" w:hAnsi="宋体" w:hint="eastAsia"/>
          <w:sz w:val="24"/>
        </w:rPr>
        <w:t>在</w:t>
      </w:r>
      <w:r w:rsidRPr="009943C3">
        <w:rPr>
          <w:rFonts w:ascii="宋体" w:eastAsia="宋体" w:hAnsi="宋体"/>
          <w:sz w:val="24"/>
        </w:rPr>
        <w:t>5%标注预算下的覆盖率</w:t>
      </w:r>
      <w:r w:rsidRPr="009943C3">
        <w:rPr>
          <w:rFonts w:ascii="宋体" w:eastAsia="宋体" w:hAnsi="宋体" w:hint="eastAsia"/>
          <w:sz w:val="24"/>
        </w:rPr>
        <w:t>为</w:t>
      </w:r>
      <w:r w:rsidRPr="009943C3">
        <w:rPr>
          <w:rFonts w:ascii="宋体" w:eastAsia="宋体" w:hAnsi="宋体"/>
          <w:sz w:val="24"/>
        </w:rPr>
        <w:t>0.836[0.793,0.874]，其置信区间下限仍低于预设</w:t>
      </w:r>
      <w:r w:rsidRPr="009943C3">
        <w:rPr>
          <w:rFonts w:ascii="宋体" w:eastAsia="宋体" w:hAnsi="宋体" w:hint="eastAsia"/>
          <w:sz w:val="24"/>
        </w:rPr>
        <w:t>的</w:t>
      </w:r>
      <w:r w:rsidRPr="009943C3">
        <w:rPr>
          <w:rFonts w:ascii="宋体" w:eastAsia="宋体" w:hAnsi="宋体"/>
          <w:sz w:val="24"/>
        </w:rPr>
        <w:t>0.80覆盖审计阈值。</w:t>
      </w:r>
    </w:p>
    <w:p w14:paraId="642E0A2E" w14:textId="77777777" w:rsidR="0081536F" w:rsidRDefault="00000000" w:rsidP="002C2BC6">
      <w:pPr>
        <w:jc w:val="both"/>
        <w:rPr>
          <w:rFonts w:hint="eastAsia"/>
        </w:rPr>
      </w:pPr>
      <w:r>
        <w:rPr>
          <w:rFonts w:ascii="黑体" w:eastAsia="黑体" w:hAnsi="黑体"/>
          <w:sz w:val="28"/>
        </w:rPr>
        <w:t>替代性偏移机制的应力测试</w:t>
      </w:r>
    </w:p>
    <w:p w14:paraId="55496B7D" w14:textId="06B79FEB" w:rsidR="0081536F" w:rsidRDefault="00000000" w:rsidP="002C2BC6">
      <w:pPr>
        <w:jc w:val="both"/>
        <w:rPr>
          <w:rFonts w:hint="eastAsia"/>
        </w:rPr>
      </w:pPr>
      <w:r>
        <w:rPr>
          <w:rFonts w:ascii="宋体" w:hAnsi="宋体" w:eastAsia="宋体"/>
          <w:sz w:val="24"/>
        </w:rPr>
        <w:t>替代机制的受控检验在失效最轻的确证方向 MIT→Tappy 上进行。合成剂量-反应实验（翻转施加于源队列 MIT）中，理论所要求的校准侧随机占优前提在9/9个理论对齐组合成立（图 7A）。在此基础上，在训练+校准翻转口径下，HC→PD 剂量翻转使 HC 条件覆盖由0.700单调降至0.425，PD 侧保持1.000（图 7B）；PD→HC 与对称翻转臂未产生对侧坍塌（图 7A、B）。校准侧标签翻转产生了单侧类条件坍塌，且坍塌侧随翻转方向改变，与 Tappy→MIT 中观察到的 PD 侧坍塌不同。尽管标签反转能够产生方向依赖的单侧类条件坍塌，三种操纵情形均未在预设容差内复现 MIT→Tappy 的观察模式：每种情形都同时偏离两项容差，其中两种把 HC 条件覆盖压至0.025与0.000，远低于该方向观察到的0.700（图 7C）。BBSE 在构造性标签偏移场景中能够近似恢复目标患病率，区间覆盖接近名义水平。在 Tappy→MIT 上其估计为0.000，目标样本的实测 PD 比例为0.512，该方向同时也是覆盖审计中失效最重的方向。</w:t>
      </w:r>
    </w:p>
    <w:p w14:paraId="7CAD8002" w14:textId="77777777" w:rsidR="0081536F" w:rsidRDefault="00000000" w:rsidP="002C2BC6">
      <w:pPr>
        <w:jc w:val="both"/>
        <w:rPr>
          <w:rFonts w:hint="eastAsia"/>
        </w:rPr>
      </w:pPr>
      <w:r>
        <w:rPr>
          <w:rFonts w:ascii="黑体" w:eastAsia="黑体" w:hAnsi="黑体"/>
          <w:sz w:val="28"/>
        </w:rPr>
        <w:t>稳健性与分组分析</w:t>
      </w:r>
    </w:p>
    <w:p w14:paraId="0044087B" w14:textId="2693E945" w:rsidR="006168A1" w:rsidRDefault="00000000" w:rsidP="002C2BC6">
      <w:pPr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敏感性分析中，三个方向的主要结果均保持不变（表</w:t>
      </w:r>
      <w:r w:rsidR="002D046B">
        <w:rPr>
          <w:rFonts w:ascii="宋体" w:eastAsia="宋体" w:hAnsi="宋体" w:hint="eastAsia"/>
          <w:sz w:val="24"/>
        </w:rPr>
        <w:t>3</w:t>
      </w:r>
      <w:r>
        <w:rPr>
          <w:rFonts w:ascii="宋体" w:eastAsia="宋体" w:hAnsi="宋体"/>
          <w:sz w:val="24"/>
        </w:rPr>
        <w:t>）：将α提高至0.20后，覆盖率为0.522–0.705</w:t>
      </w:r>
      <w:r w:rsidR="00BD0079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/>
          <w:sz w:val="24"/>
        </w:rPr>
        <w:t>三名仅报告震颤的受试者双向重纳入的最大偏移为 +0.073（Tappy→MIT，计入 HC 时；置信区间上界0.771仍低于0.90）</w:t>
      </w:r>
      <w:r w:rsidR="00BD0079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/>
          <w:sz w:val="24"/>
        </w:rPr>
        <w:t>会话按季度重新聚合</w:t>
      </w:r>
      <w:r w:rsidR="006168A1">
        <w:rPr>
          <w:rFonts w:ascii="宋体" w:eastAsia="宋体" w:hAnsi="宋体" w:hint="eastAsia"/>
          <w:sz w:val="24"/>
        </w:rPr>
        <w:t>后结果不变</w:t>
      </w:r>
      <w:r w:rsidR="00BD0079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/>
          <w:sz w:val="24"/>
        </w:rPr>
        <w:t>按特征档位分层</w:t>
      </w:r>
      <w:r w:rsidR="006168A1">
        <w:rPr>
          <w:rFonts w:ascii="宋体" w:eastAsia="宋体" w:hAnsi="宋体" w:hint="eastAsia"/>
          <w:sz w:val="24"/>
        </w:rPr>
        <w:t>也未见</w:t>
      </w:r>
      <w:r>
        <w:rPr>
          <w:rFonts w:ascii="宋体" w:eastAsia="宋体" w:hAnsi="宋体"/>
          <w:sz w:val="24"/>
        </w:rPr>
        <w:t>单调梯度。</w:t>
      </w:r>
      <w:proofErr w:type="spellStart"/>
      <w:r>
        <w:rPr>
          <w:rFonts w:ascii="宋体" w:eastAsia="宋体" w:hAnsi="宋体"/>
          <w:sz w:val="24"/>
        </w:rPr>
        <w:t>MIT→Tappy</w:t>
      </w:r>
      <w:proofErr w:type="spellEnd"/>
      <w:r>
        <w:rPr>
          <w:rFonts w:ascii="宋体" w:eastAsia="宋体" w:hAnsi="宋体"/>
          <w:sz w:val="24"/>
        </w:rPr>
        <w:t xml:space="preserve"> 的置信区间上界（0.899）接近 0.90 的名义覆盖水平，50 个预设随机种子下的覆盖率均值为 0.853 ± 0.058（标准差；范围 0.630–0.954，上端越过 0.90）。效能分析见补充材料</w:t>
      </w:r>
      <w:r w:rsidR="002D505B">
        <w:rPr>
          <w:rFonts w:ascii="宋体" w:eastAsia="宋体" w:hAnsi="宋体" w:hint="eastAsia"/>
          <w:sz w:val="24"/>
        </w:rPr>
        <w:t>表</w:t>
      </w:r>
      <w:r w:rsidR="002D505B">
        <w:rPr>
          <w:rFonts w:ascii="宋体" w:eastAsia="宋体" w:hAnsi="宋体"/>
          <w:sz w:val="24"/>
        </w:rPr>
        <w:t>S3</w:t>
      </w:r>
      <w:r>
        <w:rPr>
          <w:rFonts w:ascii="宋体" w:eastAsia="宋体" w:hAnsi="宋体"/>
          <w:sz w:val="24"/>
        </w:rPr>
        <w:t>。</w:t>
      </w:r>
    </w:p>
    <w:p w14:paraId="2714D89F" w14:textId="757C640E" w:rsidR="0081536F" w:rsidRDefault="006168A1" w:rsidP="002C2BC6">
      <w:pPr>
        <w:jc w:val="both"/>
        <w:rPr>
          <w:rFonts w:hint="eastAsia"/>
        </w:rPr>
      </w:pPr>
      <w:r>
        <w:rPr>
          <w:rFonts w:ascii="宋体" w:eastAsia="宋体" w:hAnsi="宋体" w:hint="eastAsia"/>
          <w:sz w:val="24"/>
        </w:rPr>
        <w:t>分组分析进一步考察目标队列内部的覆盖差异。</w:t>
      </w:r>
      <w:r>
        <w:rPr>
          <w:rFonts w:ascii="宋体" w:eastAsia="宋体" w:hAnsi="宋体"/>
          <w:sz w:val="24"/>
        </w:rPr>
        <w:t>性别分层仅在目标队列的 Tappy 亚组可算（</w:t>
      </w:r>
      <w:r w:rsidR="002D505B">
        <w:rPr>
          <w:rFonts w:ascii="宋体" w:eastAsia="宋体" w:hAnsi="宋体"/>
          <w:sz w:val="24"/>
        </w:rPr>
        <w:t>88</w:t>
      </w:r>
      <w:r w:rsidR="002D505B">
        <w:rPr>
          <w:rFonts w:ascii="宋体" w:eastAsia="宋体" w:hAnsi="宋体" w:hint="eastAsia"/>
          <w:sz w:val="24"/>
        </w:rPr>
        <w:t>男</w:t>
      </w:r>
      <w:r w:rsidR="002D505B">
        <w:rPr>
          <w:rFonts w:ascii="宋体" w:eastAsia="宋体" w:hAnsi="宋体"/>
          <w:sz w:val="24"/>
        </w:rPr>
        <w:t>/85</w:t>
      </w:r>
      <w:r>
        <w:rPr>
          <w:rFonts w:ascii="宋体" w:eastAsia="宋体" w:hAnsi="宋体"/>
          <w:sz w:val="24"/>
        </w:rPr>
        <w:t>女）：</w:t>
      </w:r>
      <w:proofErr w:type="spellStart"/>
      <w:r>
        <w:rPr>
          <w:rFonts w:ascii="宋体" w:eastAsia="宋体" w:hAnsi="宋体"/>
          <w:sz w:val="24"/>
        </w:rPr>
        <w:t>MIT→Tappy</w:t>
      </w:r>
      <w:proofErr w:type="spellEnd"/>
      <w:r>
        <w:rPr>
          <w:rFonts w:ascii="宋体" w:eastAsia="宋体" w:hAnsi="宋体"/>
          <w:sz w:val="24"/>
        </w:rPr>
        <w:t xml:space="preserve"> 男性</w:t>
      </w:r>
      <w:r w:rsidR="002D505B">
        <w:rPr>
          <w:rFonts w:ascii="宋体" w:eastAsia="宋体" w:hAnsi="宋体" w:hint="eastAsia"/>
          <w:sz w:val="24"/>
        </w:rPr>
        <w:t>覆盖</w:t>
      </w:r>
      <w:r w:rsidR="002D505B">
        <w:rPr>
          <w:rFonts w:ascii="宋体" w:eastAsia="宋体" w:hAnsi="宋体"/>
          <w:sz w:val="24"/>
        </w:rPr>
        <w:t>0.807</w:t>
      </w:r>
      <w:r>
        <w:rPr>
          <w:rFonts w:ascii="宋体" w:eastAsia="宋体" w:hAnsi="宋体"/>
          <w:sz w:val="24"/>
        </w:rPr>
        <w:t>、</w:t>
      </w:r>
      <w:r w:rsidR="002D505B">
        <w:rPr>
          <w:rFonts w:ascii="宋体" w:eastAsia="宋体" w:hAnsi="宋体" w:hint="eastAsia"/>
          <w:sz w:val="24"/>
        </w:rPr>
        <w:t>女性</w:t>
      </w:r>
      <w:r w:rsidR="002D505B">
        <w:rPr>
          <w:rFonts w:ascii="宋体" w:eastAsia="宋体" w:hAnsi="宋体"/>
          <w:sz w:val="24"/>
        </w:rPr>
        <w:t>0.894</w:t>
      </w:r>
      <w:r>
        <w:rPr>
          <w:rFonts w:ascii="宋体" w:eastAsia="宋体" w:hAnsi="宋体"/>
          <w:sz w:val="24"/>
        </w:rPr>
        <w:t>（男性</w:t>
      </w:r>
      <w:r w:rsidR="002D505B">
        <w:rPr>
          <w:rFonts w:ascii="宋体" w:eastAsia="宋体" w:hAnsi="宋体" w:hint="eastAsia"/>
          <w:sz w:val="24"/>
        </w:rPr>
        <w:t>低</w:t>
      </w:r>
      <w:r w:rsidR="002D505B">
        <w:rPr>
          <w:rFonts w:ascii="宋体" w:eastAsia="宋体" w:hAnsi="宋体"/>
          <w:sz w:val="24"/>
        </w:rPr>
        <w:t>8.7</w:t>
      </w:r>
      <w:r>
        <w:rPr>
          <w:rFonts w:ascii="宋体" w:eastAsia="宋体" w:hAnsi="宋体"/>
          <w:sz w:val="24"/>
        </w:rPr>
        <w:t>个百分点）</w:t>
      </w:r>
      <w:r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/>
          <w:sz w:val="24"/>
        </w:rPr>
        <w:t>临床池→自报</w:t>
      </w:r>
      <w:r w:rsidR="002D505B">
        <w:rPr>
          <w:rFonts w:ascii="宋体" w:eastAsia="宋体" w:hAnsi="宋体" w:hint="eastAsia"/>
          <w:sz w:val="24"/>
        </w:rPr>
        <w:t>男性</w:t>
      </w:r>
      <w:r w:rsidR="002D505B">
        <w:rPr>
          <w:rFonts w:ascii="宋体" w:eastAsia="宋体" w:hAnsi="宋体"/>
          <w:sz w:val="24"/>
        </w:rPr>
        <w:t>0.625</w:t>
      </w:r>
      <w:r>
        <w:rPr>
          <w:rFonts w:ascii="宋体" w:eastAsia="宋体" w:hAnsi="宋体"/>
          <w:sz w:val="24"/>
        </w:rPr>
        <w:t>、</w:t>
      </w:r>
      <w:r w:rsidR="002D505B">
        <w:rPr>
          <w:rFonts w:ascii="宋体" w:eastAsia="宋体" w:hAnsi="宋体" w:hint="eastAsia"/>
          <w:sz w:val="24"/>
        </w:rPr>
        <w:t>女性</w:t>
      </w:r>
      <w:r w:rsidR="002D505B">
        <w:rPr>
          <w:rFonts w:ascii="宋体" w:eastAsia="宋体" w:hAnsi="宋体"/>
          <w:sz w:val="24"/>
        </w:rPr>
        <w:t>0.753</w:t>
      </w:r>
      <w:r>
        <w:rPr>
          <w:rFonts w:ascii="宋体" w:eastAsia="宋体" w:hAnsi="宋体"/>
          <w:sz w:val="24"/>
        </w:rPr>
        <w:t>（男性</w:t>
      </w:r>
      <w:r w:rsidR="002D505B">
        <w:rPr>
          <w:rFonts w:ascii="宋体" w:eastAsia="宋体" w:hAnsi="宋体" w:hint="eastAsia"/>
          <w:sz w:val="24"/>
        </w:rPr>
        <w:t>低</w:t>
      </w:r>
      <w:r w:rsidR="002D505B">
        <w:rPr>
          <w:rFonts w:ascii="宋体" w:eastAsia="宋体" w:hAnsi="宋体"/>
          <w:sz w:val="24"/>
        </w:rPr>
        <w:t>12.8</w:t>
      </w:r>
      <w:r>
        <w:rPr>
          <w:rFonts w:ascii="宋体" w:eastAsia="宋体" w:hAnsi="宋体"/>
          <w:sz w:val="24"/>
        </w:rPr>
        <w:t>个百分点）。MIT 与 OE 不公开人口学字段。</w:t>
      </w:r>
    </w:p>
    <w:sectPr w:rsidR="0081536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58363" w14:textId="77777777" w:rsidR="00182DFC" w:rsidRDefault="00182DFC" w:rsidP="00AF19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2B3FBB" w14:textId="77777777" w:rsidR="00182DFC" w:rsidRDefault="00182DFC" w:rsidP="00AF19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86A2" w14:textId="77777777" w:rsidR="002616F1" w:rsidRDefault="002616F1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79BDE" w14:textId="77777777" w:rsidR="002616F1" w:rsidRDefault="002616F1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EE1C6" w14:textId="77777777" w:rsidR="002616F1" w:rsidRDefault="002616F1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80ACC" w14:textId="77777777" w:rsidR="00182DFC" w:rsidRDefault="00182DFC" w:rsidP="00AF19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C7726E" w14:textId="77777777" w:rsidR="00182DFC" w:rsidRDefault="00182DFC" w:rsidP="00AF19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C44FC" w14:textId="77777777" w:rsidR="002616F1" w:rsidRDefault="002616F1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934B5" w14:textId="77777777" w:rsidR="002616F1" w:rsidRDefault="002616F1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16972" w14:textId="77777777" w:rsidR="002616F1" w:rsidRDefault="002616F1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EC"/>
    <w:rsid w:val="00004CB2"/>
    <w:rsid w:val="0004160B"/>
    <w:rsid w:val="000E201D"/>
    <w:rsid w:val="000F676E"/>
    <w:rsid w:val="00126FE2"/>
    <w:rsid w:val="00147EE4"/>
    <w:rsid w:val="00163B41"/>
    <w:rsid w:val="00182DFC"/>
    <w:rsid w:val="00244C96"/>
    <w:rsid w:val="002616F1"/>
    <w:rsid w:val="0026245B"/>
    <w:rsid w:val="002C2BC6"/>
    <w:rsid w:val="002D046B"/>
    <w:rsid w:val="002D505B"/>
    <w:rsid w:val="003E4FEA"/>
    <w:rsid w:val="00425F6B"/>
    <w:rsid w:val="00541946"/>
    <w:rsid w:val="006168A1"/>
    <w:rsid w:val="00646878"/>
    <w:rsid w:val="006647B5"/>
    <w:rsid w:val="006666F5"/>
    <w:rsid w:val="00737B78"/>
    <w:rsid w:val="007A43FA"/>
    <w:rsid w:val="0081536F"/>
    <w:rsid w:val="00817CEC"/>
    <w:rsid w:val="008B694C"/>
    <w:rsid w:val="008F1E93"/>
    <w:rsid w:val="009078D6"/>
    <w:rsid w:val="00986E25"/>
    <w:rsid w:val="009943C3"/>
    <w:rsid w:val="00A37567"/>
    <w:rsid w:val="00AB1853"/>
    <w:rsid w:val="00AF19D4"/>
    <w:rsid w:val="00B04D96"/>
    <w:rsid w:val="00B11783"/>
    <w:rsid w:val="00BD0079"/>
    <w:rsid w:val="00C24BC3"/>
    <w:rsid w:val="00C7221B"/>
    <w:rsid w:val="00E21912"/>
    <w:rsid w:val="00F6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03AE36"/>
  <w15:chartTrackingRefBased/>
  <w15:docId w15:val="{D02980AA-00D1-4EDD-90EC-B30D2B294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7C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C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C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C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C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C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C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C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7C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7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7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7C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7C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7C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7C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7C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7C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7C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7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C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7C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7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7C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7C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7C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7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7C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7C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19D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F19D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F19D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F19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1320</Words>
  <Characters>1809</Characters>
  <Application>Microsoft Office Word</Application>
  <DocSecurity>0</DocSecurity>
  <Lines>53</Lines>
  <Paragraphs>21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浩天 光</dc:creator>
  <cp:keywords/>
  <dc:description/>
  <cp:lastModifiedBy>浩天 光</cp:lastModifiedBy>
  <cp:revision>19</cp:revision>
  <dcterms:created xsi:type="dcterms:W3CDTF">2026-10-02T11:12:00Z</dcterms:created>
  <dcterms:modified xsi:type="dcterms:W3CDTF">2026-10-08T10:44:00Z</dcterms:modified>
</cp:coreProperties>
</file>