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0de58872f3d41524c8abf166b681918ce4f957"/>
    <w:p>
      <w:pPr>
        <w:pStyle w:val="Heading1"/>
      </w:pPr>
      <w:r>
        <w:t xml:space="preserve">Score-Dependent Conformal Coverage Under Cross-Dataset Deployment of Parkinson’s Disease Typing Classifiers: A Pre-Registered Four-Dataset Audit</w:t>
      </w:r>
    </w:p>
    <w:p>
      <w:pPr>
        <w:pStyle w:val="FirstParagraph"/>
      </w:pPr>
      <w:r>
        <w:rPr>
          <w:b/>
          <w:bCs/>
        </w:rPr>
        <w:t xml:space="preserve">Manuscript draft (Journal of Medical Systems — Research article, main text ≤ 4,000 words)</w:t>
      </w:r>
      <w:r>
        <w:t xml:space="preserve"> </w:t>
      </w:r>
      <w:r>
        <w:t xml:space="preserve">Draft v0.9-JOMS </w:t>
      </w:r>
      <w:r>
        <w:rPr>
          <w:rFonts w:hint="eastAsia"/>
        </w:rPr>
        <w:t xml:space="preserve">｜</w:t>
      </w:r>
      <w:r>
        <w:t xml:space="preserve"> 2026-09-27 </w:t>
      </w:r>
      <w:r>
        <w:rPr>
          <w:rFonts w:hint="eastAsia"/>
        </w:rPr>
        <w:t xml:space="preserve">｜</w:t>
      </w:r>
      <w:r>
        <w:t xml:space="preserve"> Results source: frozen tag</w:t>
      </w:r>
      <w:r>
        <w:t xml:space="preserve"> </w:t>
      </w:r>
      <w:r>
        <w:rPr>
          <w:rStyle w:val="VerbatimChar"/>
        </w:rPr>
        <w:t xml:space="preserve">results-frozen-v1</w:t>
      </w:r>
    </w:p>
    <w:p>
      <w:pPr>
        <w:pStyle w:val="BlockText"/>
      </w:pPr>
      <w:r>
        <w:rPr>
          <w:b/>
          <w:bCs/>
        </w:rPr>
        <w:t xml:space="preserve">Title page (to be completed by the author before submission)</w:t>
      </w:r>
      <w:r>
        <w:t xml:space="preserve"> </w:t>
      </w:r>
      <w:r>
        <w:t xml:space="preserve">Author: Taylor [Given name, Family name]; Affiliation: [Department, Institution, City, Country]; ORCID: [__]; Corresponding email: [__]</w:t>
      </w:r>
      <w:r>
        <w:t xml:space="preserve"> </w:t>
      </w:r>
      <w:r>
        <w:t xml:space="preserve">Acknowledgements and author contributions: see Declarations (CRediT roles to be assigned by the author).</w:t>
      </w:r>
      <w:r>
        <w:t xml:space="preserve"> </w:t>
      </w:r>
      <w:r>
        <w:rPr>
          <w:b/>
          <w:bCs/>
        </w:rPr>
        <w:t xml:space="preserve">LLM disclosure (required by journal; verify and complete):</w:t>
      </w:r>
      <w:r>
        <w:t xml:space="preserve"> </w:t>
      </w:r>
      <w:r>
        <w:t xml:space="preserve">AI agent assistance (ZCode CLI, GLM model) was used for data-pipeline execution, code generation, and internal consistency auditing under human direction; all outputs were verified by the author, who is accountable for all content. Tool/version/date to be filled by the author at submission.</w:t>
      </w:r>
    </w:p>
    <w:p>
      <w:pPr>
        <w:pStyle w:val="FirstParagraph"/>
      </w:pPr>
      <w:r>
        <w:rPr>
          <w:b/>
          <w:bCs/>
        </w:rPr>
        <w:t xml:space="preserve">Keywords:</w:t>
      </w:r>
      <w:r>
        <w:t xml:space="preserve"> </w:t>
      </w:r>
      <w:r>
        <w:t xml:space="preserve">conformal prediction; Parkinson’s disease; keystroke dynamics; coverage audit; cross-dataset deployment; uncertainty quantification</w:t>
      </w:r>
    </w:p>
    <w:p>
      <w:pPr>
        <w:pStyle w:val="BodyText"/>
      </w:pPr>
      <w:r>
        <w:rPr>
          <w:b/>
          <w:bCs/>
        </w:rPr>
        <w:t xml:space="preserve">Reporting checklist:</w:t>
      </w:r>
      <w:r>
        <w:t xml:space="preserve"> </w:t>
      </w:r>
      <w:r>
        <w:t xml:space="preserve">TRIPOD+AI checklist to be completed and uploaded as supplementary information. The analysis protocol was pre-registered on OSF before any cross-dataset coverage was computed (2-year embargo; analysis plan v1, frozen tag</w:t>
      </w:r>
      <w:r>
        <w:t xml:space="preserve"> </w:t>
      </w:r>
      <w:r>
        <w:rPr>
          <w:rStyle w:val="VerbatimChar"/>
        </w:rPr>
        <w:t xml:space="preserve">v1.0-prereg</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Background: Conformal prediction (CP) provides distribution-free prediction sets with guaranteed marginal coverage under exchangeability. In keystroke-based Parkinson’s disease (PD) detection, cross-dataset deployment degrades discrimination, but the fate of the coverage guarantee had not been audited. Methods: Under a pre-registered protocol, we audited split-CP coverage (α = 0.10; LAC scores; logistic-regression reference model) when classifiers trained on one public keystroke dataset are deployed on another, across four public datasets (frozen cohort: 475 subjects). The pre-registered primary family covered three high-power transfer directions with Holm correction. PD/HC class-conditional coverage was a pre-specified safety diagnostic. Recovery (target-domain calibration budgets) and attribution (prevalence-resampling and label-flip stress tests against pre-specified practical tolerances) were pre-registered secondary analyses. Results: All three primary directions were Incompatible (family-controlled): Tappy→MIT 0.598 [95% CI 0.483–0.704], MIT→Tappy 0.850 [0.788–0.899], clinical-pool→self-report 0.732 [0.684–0.777]. Marginal totals concealed severe class asymmetry (PD-conditional coverage 0.214 in Tappy→MIT; HC 1.000). Coverage degradation was score-dependent: a LightGBM comparator with lower discrimination maintained 0.925–1.000 class-conditional coverage in every primary direction. Recovery required 9–18 target labels in two directions but was not achieved within a 30% budget in Tappy→MIT; label-free weighting achieved coverage only by abstaining on 86–100% of subjects. Prevalence re-matching and label corruption, alone or combined, did not reproduce the observed phenotype. Conclusions: Discrimination and coverage behave as distinct reliability dimensions under deployment shift; deployment reporting should include coverage audits and class-conditional diagnostics alongside AUC.</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Keystroke dynamics provide a scalable digital biomarker for Parkinson’s disease (PD) screening, and public datasets have supported a decade of classifier development evaluated almost exclusively by discrimination — typically AUC under cross-dataset transfer, where degradation is well documented. A deployed screening system must deliver a second property: calibrated uncertainty. Conformal prediction (CP) promises it — under exchangeability, split CP covers the true label with probability at least 1−α regardless of the underlying model — but deployment across datasets breaks exchangeability, and the behavior of CP coverage under realistic clinical data shift has been studied mostly in theory or outside medicine. To our knowledge, this is the first systematic empirical audit of conformal prediction coverage across publicly available Parkinson’s keystroke datasets.</w:t>
      </w:r>
    </w:p>
    <w:p>
      <w:pPr>
        <w:pStyle w:val="BodyText"/>
      </w:pPr>
      <w:r>
        <w:t xml:space="preserve">This audit characterizes whether discrimination degradation and coverage degradation exhibit non-identical patterns across deployment shifts (pre-registered hypothesis H1). We report three lines of pre-registered evidence that they do: the primary-family coverage verdicts are uniformly negative while discrimination remains moderate; a comparator model with lower discrimination exhibits higher coverage, so coverage failure is score-dependent rather than a property of the task shift alone; and controlled label manipulations that reproduce class-conditional collapse in form do not reproduce the observed phenotype in magnitude. We report the work as a mapping-reliability audit rather than a failure claim: the pre-registered verdict vocabulary asserts statistical compatibility with a pre-specified operational audit threshold, not clinical failure, and primary outcomes were not conditioned on observing degradation.</w:t>
      </w:r>
    </w:p>
    <w:p>
      <w:pPr>
        <w:pStyle w:val="BodyText"/>
      </w:pPr>
      <w:r>
        <w:t xml:space="preserve">The study contributes: (i) a pre-registered, embargoed systematic audit of CP coverage across four public PD keystroke datasets with a frozen cohort and family-wise controlled primary endpoints; (ii) a coverage–discrimination decoupling map across all 12 ordered transfer directions and two score functions; (iii) in-the-wild quantification of heterogeneous label sources (clinical vs self-report) on coverage, with controlled-shift stress tests; and (iv) an open audit toolkit (three-tier feature system, coverage-restoration unit tests including an independent oracle for weighted CP, pre-registered protocol, and a coverage-to-workflow mapping: singleton = auto-pass, doubleton = manual review, full set = system rejection).</w:t>
      </w:r>
    </w:p>
    <w:bookmarkEnd w:id="10"/>
    <w:bookmarkStart w:id="16" w:name="methods"/>
    <w:p>
      <w:pPr>
        <w:pStyle w:val="Heading2"/>
      </w:pPr>
      <w:r>
        <w:t xml:space="preserve">Methods</w:t>
      </w:r>
    </w:p>
    <w:bookmarkStart w:id="11" w:name="data-and-cohorts"/>
    <w:p>
      <w:pPr>
        <w:pStyle w:val="Heading3"/>
      </w:pPr>
      <w:r>
        <w:t xml:space="preserve">Data and cohorts</w:t>
      </w:r>
    </w:p>
    <w:p>
      <w:pPr>
        <w:pStyle w:val="FirstParagraph"/>
      </w:pPr>
      <w:r>
        <w:t xml:space="preserve">Four public datasets were used: MIT-CSXPD (clinical gold standard), Tappy Keplar (self-report, bring-your-own-device), TyPD (clinical, i-PROGNOSIS), and Online English (self-report, web-based). Cleaning rules were pre-registered and label-blind (seven steps, e.g., session validity ≥ 100 digraphs; person eligibility ≥ 300 valid digraphs). The frozen cohort comprised 475 subjects (PD 270 / HC 205): MIT 82 (42/40), Tappy 173 (133/40), TyPD 27 (12/15), and Online English 193 (83/110). PD status was defined by clinical diagnosis fields (MIT, TyPD) or self-report fields (Tappy, OE). Three Tappy participants reporting tremor without PD diagnosis were excluded from the primary analysis; dual re-inclusion is reported as sensitivity. The study used exclusively de-identified public datasets; no new human data were collected, and the analysis protocol follows the declarations in the Statements section.</w:t>
      </w:r>
    </w:p>
    <w:bookmarkEnd w:id="11"/>
    <w:bookmarkStart w:id="12" w:name="features-and-models"/>
    <w:p>
      <w:pPr>
        <w:pStyle w:val="Heading3"/>
      </w:pPr>
      <w:r>
        <w:t xml:space="preserve">Features and models</w:t>
      </w:r>
    </w:p>
    <w:p>
      <w:pPr>
        <w:pStyle w:val="FirstParagraph"/>
      </w:pPr>
      <w:r>
        <w:t xml:space="preserve">Person-level features aggregate all valid digraphs of a person (one subject = one conformal observation). Three pre-registered tiers were used — L1: hold/latency/flight distribution summaries (15 features, all datasets); L2: hand-conditional summaries (MIT/Tappy/OE); L3: digraph-transition features (MIT/OE) — with the transfer tier fixed at the minimum of the chain’s dataset caps and recorded as an audit covariate. The effective primary reference model was L2-regularized logistic regression (amendment CHG-P1: the pre-registered LightGBM failed a pre-declared in-domain gate in three documented runs and is reported as comparator with shallow-tree settings). All hyperparameters were fixed before target data were accessed; target datasets were never used for model selection.</w:t>
      </w:r>
    </w:p>
    <w:bookmarkEnd w:id="12"/>
    <w:bookmarkStart w:id="13" w:name="conformal-procedures"/>
    <w:p>
      <w:pPr>
        <w:pStyle w:val="Heading3"/>
      </w:pPr>
      <w:r>
        <w:t xml:space="preserve">Conformal procedures</w:t>
      </w:r>
    </w:p>
    <w:p>
      <w:pPr>
        <w:pStyle w:val="FirstParagraph"/>
      </w:pPr>
      <w:r>
        <w:t xml:space="preserve">Split CP used LAC scores (1 − true-class probability), a stratified 30% source calibration split (single confirmatory seed = 1, the first registered seed; 50-seed summaries are descriptive), α = 0.10, and the finite-sample quantile k = ⌈(n+1)(1−α)⌉. Predictor: source-trained classifier. Guarantee target: marginal 1−α coverage on the target cohort. Pre-specified remediation arms were target-domain recalibration at 0/5/10/20/30% labeled budgets (class-stratified draw; test on the complement); weighted CP under estimated density ratios (domain-classifier odds, pooled p99 truncation; Tibshirani eq. (8) direct form, verified against an independent oracle; guarantee target: covariate-shift-weighted marginal 1−α); and protocol-conditional recalibration (guarantee target: protocol-group-conditional 1−α). The split-CP implementation matches MAPIE 1.5.0 pointwise (1800/1800 comparisons) and passes 18 synthetic tests.</w:t>
      </w:r>
    </w:p>
    <w:bookmarkEnd w:id="13"/>
    <w:bookmarkStart w:id="14" w:name="outcomes-and-verdicts"/>
    <w:p>
      <w:pPr>
        <w:pStyle w:val="Heading3"/>
      </w:pPr>
      <w:r>
        <w:t xml:space="preserve">Outcomes and verdicts</w:t>
      </w:r>
    </w:p>
    <w:p>
      <w:pPr>
        <w:pStyle w:val="FirstParagraph"/>
      </w:pPr>
      <w:r>
        <w:t xml:space="preserve">The pre-registered primary family was three high-power directions × α = 0.10 × marginal coverage — Tappy→MIT, MIT→Tappy, and clinical-pool (MIT+TyPD) → self-report (Tappy+OE) — with one-sided binomial tests (H0: true coverage ≥ 0.90) and Holm correction at family-wise 0.10. Verdicts used pre-registered vocabulary against a pre-specified operational audit threshold of 0.80 (Compatible: CI lower bound ≥ 0.80; Incompatible: CI upper bound &lt; 0.90; else Undetermined; Incompatible priority in the overlap). The 0.80 threshold has no clinical-safety interpretation. PD/HC class-conditional coverage was a pre-specified safety diagnostic with exact Clopper-Pearson intervals; under joint covariate and label shift it carries no distribution-free guarantee, which is why it is measured.</w:t>
      </w:r>
    </w:p>
    <w:bookmarkEnd w:id="14"/>
    <w:bookmarkStart w:id="15" w:name="recovery-and-attribution"/>
    <w:p>
      <w:pPr>
        <w:pStyle w:val="Heading3"/>
      </w:pPr>
      <w:r>
        <w:t xml:space="preserve">Recovery and attribution</w:t>
      </w:r>
    </w:p>
    <w:p>
      <w:pPr>
        <w:pStyle w:val="FirstParagraph"/>
      </w:pPr>
      <w:r>
        <w:t xml:space="preserve">The pre-registered recovery-cost table crossed {naive CP, target recalibration (5/10/20/30%), weighted CP, protocol-conditional recalibration} with {target labels used, coverage, PD coverage, mean set size, singleton rate, rejection rate}. Attribution stress tests were: (A) synthetic dose–response — donor-class person-level label flips at 10/20/30% in three directions, compared with the dispersive-noise theory of Einbinder et al. via the exact calibration-side stochastic-dominance condition; (B) a three-arm real-transfer test — prevalence re-matching to 74% by resampling, prevalence-preserving two-way label flips, and their combination — against pre-specified practical-equivalence tolerances (±5 percentage points coverage, ±0.3 mean set size); (C) black-box shift estimation (BBSE) validated on constructed label shift and applied descriptively to real pairs. Following the frozen wording template, these tests ask whether the manipulations are sufficient to reproduce the observed patterns; no causal identification is claimed.</w:t>
      </w:r>
    </w:p>
    <w:bookmarkEnd w:id="15"/>
    <w:bookmarkEnd w:id="16"/>
    <w:bookmarkStart w:id="23" w:name="results"/>
    <w:p>
      <w:pPr>
        <w:pStyle w:val="Heading2"/>
      </w:pPr>
      <w:r>
        <w:t xml:space="preserve">Results</w:t>
      </w:r>
    </w:p>
    <w:bookmarkStart w:id="17" w:name="X9c70a236ea9e521820bc0113890374f14780834"/>
    <w:p>
      <w:pPr>
        <w:pStyle w:val="Heading3"/>
      </w:pPr>
      <w:r>
        <w:t xml:space="preserve">Primary family: all three directions Incompatible</w:t>
      </w:r>
    </w:p>
    <w:p>
      <w:pPr>
        <w:pStyle w:val="FirstParagraph"/>
      </w:pPr>
      <w:r>
        <w:t xml:space="preserve">Every primary direction fell statistically short of the nominal level under family-wise control (Table 2, Fig. 1): Tappy→MIT 0.598 [0.483, 0.704] (Holm q = 1.2×10⁻¹²), MIT→Tappy 0.850 [0.788, 0.899] (q = 0.023), clinical-pool→self-report 0.732 [0.684, 0.777] (q = 2.5×10⁻¹⁹). Prediction sets were short (mean sizes 1.11–1.53; singleton rates 0.47–0.89), so deficits reflect confident miscoverage rather than uninformative outputs. The LightGBM comparator covered 0.963–0.988 in the same directions with near-full sets (mean 1.92–1.97; singleton rates 0.03–0.08) — coverage bought conservatively.</w:t>
      </w:r>
    </w:p>
    <w:bookmarkEnd w:id="17"/>
    <w:bookmarkStart w:id="18" w:name="X444cf6b90f682642245e558061b2d34a1217b29"/>
    <w:p>
      <w:pPr>
        <w:pStyle w:val="Heading3"/>
      </w:pPr>
      <w:r>
        <w:t xml:space="preserve">Safety diagnostic: marginal coverage concealed class-conditional collapse</w:t>
      </w:r>
    </w:p>
    <w:p>
      <w:pPr>
        <w:pStyle w:val="FirstParagraph"/>
      </w:pPr>
      <w:r>
        <w:t xml:space="preserve">In Tappy→MIT, PD-conditional coverage was 0.214 [0.103, 0.368] (n = 42) while HC coverage was 1.000 (n = 40): 33 of 42 PD patients (78.6%) received sets excluding their true label — predominantly confident singletons exonerating them. The under-served class flipped with target prevalence: HC-conditional coverage was the deficient one in the two PD-heavy targets (0.700 in MIT→Tappy; 0.627 in clinical→self-report). The comparator score was near-uniform across classes (0.925–1.000). These are measured diagnostics on a frozen cohort, not guarantees; under joint covariate and label shift, class-conditional coverage may be unidentifiable without target labels.</w:t>
      </w:r>
    </w:p>
    <w:bookmarkEnd w:id="18"/>
    <w:bookmarkStart w:id="19" w:name="Xa706637702e0862c003bc8d2f7df0ed6e7c0058"/>
    <w:p>
      <w:pPr>
        <w:pStyle w:val="Heading3"/>
      </w:pPr>
      <w:r>
        <w:t xml:space="preserve">Decoupling: discrimination and coverage degrade on different axes</w:t>
      </w:r>
    </w:p>
    <w:p>
      <w:pPr>
        <w:pStyle w:val="FirstParagraph"/>
      </w:pPr>
      <w:r>
        <w:t xml:space="preserve">Across all 12 transfer directions, discrimination and coverage moved asynchronously in both score functions (Fig. 3). The comparator’s mean coverage exceeded the reference’s in 11 of 12 directions despite lower AUC in all 12; reference-model directions with comparable discrimination showed coverage from 0.58 to 0.91. Per the pre-registered H1 plan this is a descriptive cross-direction characterization (no significance testing across 12 non-independent directions); the pattern is the paper’s central object.</w:t>
      </w:r>
    </w:p>
    <w:bookmarkEnd w:id="19"/>
    <w:bookmarkStart w:id="20" w:name="Xc4247633f4a55370e106b5a01ac4c5c38032c44"/>
    <w:p>
      <w:pPr>
        <w:pStyle w:val="Heading3"/>
      </w:pPr>
      <w:r>
        <w:t xml:space="preserve">Recovery: cheap where the score survives, expensive where it collapses</w:t>
      </w:r>
    </w:p>
    <w:p>
      <w:pPr>
        <w:pStyle w:val="FirstParagraph"/>
      </w:pPr>
      <w:r>
        <w:t xml:space="preserve">Target recalibration with 9 labels restored the audit threshold with CI support in MIT→Tappy (0.982 [0.947, 0.996]); 18 labels sufficed for clinical→self-report (0.876 [0.837, 0.909]). Tappy→MIT was different: the point estimate crossed 0.80 at 16 labels, but the CI lower bound never reached 0.80 within a 30% budget (25 labels; 0.877 [0.763, 0.949]), and the PD-conditional residual persisted (0.759 vs HC 1.000) — pooled recalibration repairs the marginal quantile, not class-conditional miscalibration. Label-free density-ratio weighting attained nominal coverage (0.918–1.000) only by abstaining on 86–100% of subjects: coverage without utility. Fewer than 9 target labels yield degenerate full-set calibration sets at α = 0.10.</w:t>
      </w:r>
    </w:p>
    <w:bookmarkEnd w:id="20"/>
    <w:bookmarkStart w:id="21" w:name="X1927d06f735387317775ead2afc113b2067a9b3"/>
    <w:p>
      <w:pPr>
        <w:pStyle w:val="Heading3"/>
      </w:pPr>
      <w:r>
        <w:t xml:space="preserve">Attribution: the observed phenotype is not manufactured by prevalence or noise alone</w:t>
      </w:r>
    </w:p>
    <w:p>
      <w:pPr>
        <w:pStyle w:val="FirstParagraph"/>
      </w:pPr>
      <w:r>
        <w:t xml:space="preserve">Synthetic dose–response on the clinical source reproduced the form of class-conditional collapse (directional flips pinned one class at 1.000 while the other fell monotonically to 0.425), and the dispersive-noise dominance condition held at the process level in 9/9 theory-aligned cells. In the three-arm test, none of prevalence re-matching, prevalence-preserving corruption, or their combination reproduced the observed MIT→Tappy phenotype within the pre-specified tolerances — every arm missed both tolerances, two by overshooting into extreme asymmetry (HC coverage 0.025 and 0.000) absent from the real data. BBSE, validated as unbiased with nominal interval coverage on constructed label shift, degenerated on exactly the worst direction (Tappy→MIT, estimated PD prevalence 0.000), consistent with that direction’s score-level collapse. The deployed coverage phenotype was not reproduced by prevalence re-matching or label corruption alone; the feature-space shift itself remains the uneliminated factor (no causal identification claimed) and is not a target that prevalence correction or label cleaning could address on their own.</w:t>
      </w:r>
    </w:p>
    <w:bookmarkEnd w:id="21"/>
    <w:bookmarkStart w:id="22" w:name="robustness-and-subgroups"/>
    <w:p>
      <w:pPr>
        <w:pStyle w:val="Heading3"/>
      </w:pPr>
      <w:r>
        <w:t xml:space="preserve">Robustness and subgroups</w:t>
      </w:r>
    </w:p>
    <w:p>
      <w:pPr>
        <w:pStyle w:val="FirstParagraph"/>
      </w:pPr>
      <w:r>
        <w:t xml:space="preserve">No pre-registered sensitivity analysis flipped any primary verdict: α = 0.20 (0.522–0.705 across primary directions); 50-split summaries (0.669 ± 0.138 to 0.853 ± 0.058); dual re-inclusion of the three tremor-only participants (largest shift +0.073); quarter-level session re-aggregation (identical results); feature tier as covariate (no monotone gradient). Sex-stratified coverage (computable only for Tappy-origin targets) showed an 8.7 pp male deficit in MIT→Tappy; MIT and OE publish no demographic fields, which is reported as a limitation rather than imputed.</w:t>
      </w:r>
    </w:p>
    <w:bookmarkEnd w:id="22"/>
    <w:bookmarkEnd w:id="23"/>
    <w:bookmarkStart w:id="24" w:name="discussion"/>
    <w:p>
      <w:pPr>
        <w:pStyle w:val="Heading2"/>
      </w:pPr>
      <w:r>
        <w:t xml:space="preserve">Discussion</w:t>
      </w:r>
    </w:p>
    <w:p>
      <w:pPr>
        <w:pStyle w:val="FirstParagraph"/>
      </w:pPr>
      <w:r>
        <w:t xml:space="preserve">Principal finding. Under cross-dataset deployment of PD typing classifiers, the conformal coverage guarantee behaves as a reliability dimension distinct from discrimination: it fails family-wisely where discrimination looks acceptable, survives where discrimination looks poor, conceals class-conditional collapse behind acceptable marginal totals, recovers at widely different label costs, and cannot be reproduced from prevalence shift and label noise alone. A deployed screening system reporting only AUC has characterized half of its own reliability.</w:t>
      </w:r>
    </w:p>
    <w:p>
      <w:pPr>
        <w:pStyle w:val="BodyText"/>
      </w:pPr>
      <w:r>
        <w:t xml:space="preserve">For practice. The audit yields deployment guidance: (i) coverage claims must be audited per deployment target — in-domain guarantees do not transfer; (ii) the repair budget is small where the score survives (9–18 labels) and unbounded within practical budgets where it collapses, so score selection should include coverage behavior; (iii) marginal totals are insufficient for safety-relevant classes — class-conditional diagnostics are mandatory reporting; (iv) singleton-auto-pass review workflows inherit the singleton error rate, which reached 89% of subjects in the worst direction.</w:t>
      </w:r>
    </w:p>
    <w:p>
      <w:pPr>
        <w:pStyle w:val="BodyText"/>
      </w:pPr>
      <w:r>
        <w:t xml:space="preserve">Relation to prior work. Coverage audits of medical CP exist for chest radiographs, ICU mortality, visual domain transfer, EEG, and EHR settings; PD digital phenotyping has used CP for medication-need intervals and selective refusal in multimodal assessment — in-domain. Cross-dataset keystroke benchmarks have left uncertainty unexamined. Our results do not contradict CP theory; they measure what the theory predicts at the boundary of its assumptions, on data a deployment would actually meet.</w:t>
      </w:r>
    </w:p>
    <w:p>
      <w:pPr>
        <w:pStyle w:val="BodyText"/>
      </w:pPr>
      <w:r>
        <w:t xml:space="preserve">Conclusions. Discrimination metrics and coverage guarantees fail independently under deployment shift. Health systems deploying keystroke-based screening should treat coverage auditing — marginal and class-conditional, per target cohort — as a standing requirement alongside discrimination evaluation, budget for small per-site calibration sets, and prefer score functions whose coverage behavior is robust to shift.</w:t>
      </w:r>
    </w:p>
    <w:bookmarkEnd w:id="24"/>
    <w:bookmarkStart w:id="25" w:name="limitations"/>
    <w:p>
      <w:pPr>
        <w:pStyle w:val="Heading2"/>
      </w:pPr>
      <w:r>
        <w:t xml:space="preserve">Limitations</w:t>
      </w:r>
    </w:p>
    <w:p>
      <w:pPr>
        <w:pStyle w:val="Compact"/>
        <w:numPr>
          <w:ilvl w:val="0"/>
          <w:numId w:val="1001"/>
        </w:numPr>
      </w:pPr>
      <w:r>
        <w:t xml:space="preserve">Self-report labels qualify the estimand on self-report targets; random flips are not structured mislabeling, and reproduction claims are limited to</w:t>
      </w:r>
      <w:r>
        <w:t xml:space="preserve"> </w:t>
      </w:r>
      <w:r>
        <w:t xml:space="preserve">“sufficient to reproduce”</w:t>
      </w:r>
      <w:r>
        <w:t xml:space="preserve">. (2) The effective reference model is logistic regression following a pre-registered gate failure of the original LightGBM choice (three runs documented); the amendment was frozen before cross-dataset coverage was computed, and the comparator is reported throughout. (3) Score-dependence is established descriptively across two score functions and 12 non-independent directions. (4) MIT and OE publish no sex/age fields, limiting subgroup audits; MIT’s control group is female-biased (~17 pp) per the literature. (5) Class-conditional coverage under joint shift is measured, not guaranteed. (6) OE retains 0.27% duplicate rows by pre-registered decision; the merged source pool statement concerns label quality, not distribution exchangeability. (7) Weighted CP has no third-party library cross-check; correctness rests on an independent oracle, and its practical failure (abstention) is reported as an outcome.</w:t>
      </w:r>
    </w:p>
    <w:bookmarkEnd w:id="25"/>
    <w:bookmarkStart w:id="26" w:name="statements-and-declarations"/>
    <w:p>
      <w:pPr>
        <w:pStyle w:val="Heading2"/>
      </w:pPr>
      <w:r>
        <w:t xml:space="preserve">Statements and Declarations</w:t>
      </w:r>
    </w:p>
    <w:p>
      <w:pPr>
        <w:pStyle w:val="FirstParagraph"/>
      </w:pPr>
      <w:r>
        <w:rPr>
          <w:b/>
          <w:bCs/>
        </w:rPr>
        <w:t xml:space="preserve">Funding.</w:t>
      </w:r>
      <w:r>
        <w:t xml:space="preserve"> </w:t>
      </w:r>
      <w:r>
        <w:t xml:space="preserve">[No funding was received for this study / to be completed by the author.]</w:t>
      </w:r>
      <w:r>
        <w:t xml:space="preserve"> </w:t>
      </w:r>
      <w:r>
        <w:rPr>
          <w:b/>
          <w:bCs/>
        </w:rPr>
        <w:t xml:space="preserve">Competing interests.</w:t>
      </w:r>
      <w:r>
        <w:t xml:space="preserve"> </w:t>
      </w:r>
      <w:r>
        <w:t xml:space="preserve">The author declares no competing interests. [To be confirmed.]</w:t>
      </w:r>
      <w:r>
        <w:t xml:space="preserve"> </w:t>
      </w:r>
      <w:r>
        <w:rPr>
          <w:b/>
          <w:bCs/>
        </w:rPr>
        <w:t xml:space="preserve">Ethics approval.</w:t>
      </w:r>
      <w:r>
        <w:t xml:space="preserve"> </w:t>
      </w:r>
      <w:r>
        <w:t xml:space="preserve">This study used exclusively de-identified, publicly available datasets (MIT-CSXPD, Tappy Keplar, TyPD/i-PROGNOSIS, Online English) released for research use; no new human data were collected, and no intervention occurred. [Institutional exemption statement to be completed by the author.]</w:t>
      </w:r>
      <w:r>
        <w:t xml:space="preserve"> </w:t>
      </w:r>
      <w:r>
        <w:rPr>
          <w:b/>
          <w:bCs/>
        </w:rPr>
        <w:t xml:space="preserve">Consent to participate / to publish.</w:t>
      </w:r>
      <w:r>
        <w:t xml:space="preserve"> </w:t>
      </w:r>
      <w:r>
        <w:t xml:space="preserve">Not applicable: no individual participant data were newly collected; all datasets are public research releases with their own consent frameworks.</w:t>
      </w:r>
      <w:r>
        <w:t xml:space="preserve"> </w:t>
      </w:r>
      <w:r>
        <w:rPr>
          <w:b/>
          <w:bCs/>
        </w:rPr>
        <w:t xml:space="preserve">Data availability.</w:t>
      </w:r>
      <w:r>
        <w:t xml:space="preserve"> </w:t>
      </w:r>
      <w:r>
        <w:t xml:space="preserve">All four datasets are publicly available from their original distributors; the frozen cohort construction (inclusion/exclusion counts per step) is released with the code.</w:t>
      </w:r>
      <w:r>
        <w:t xml:space="preserve"> </w:t>
      </w:r>
      <w:r>
        <w:rPr>
          <w:b/>
          <w:bCs/>
        </w:rPr>
        <w:t xml:space="preserve">Code availability.</w:t>
      </w:r>
      <w:r>
        <w:t xml:space="preserve"> </w:t>
      </w:r>
      <w:r>
        <w:t xml:space="preserve">Full pipeline, frozen result tables (tag</w:t>
      </w:r>
      <w:r>
        <w:t xml:space="preserve"> </w:t>
      </w:r>
      <w:r>
        <w:rPr>
          <w:rStyle w:val="VerbatimChar"/>
        </w:rPr>
        <w:t xml:space="preserve">results-frozen-v1</w:t>
      </w:r>
      <w:r>
        <w:t xml:space="preserve">), unit-test suite, and per-cell outputs are public in the project repository.</w:t>
      </w:r>
      <w:r>
        <w:t xml:space="preserve"> </w:t>
      </w:r>
      <w:r>
        <w:rPr>
          <w:b/>
          <w:bCs/>
        </w:rPr>
        <w:t xml:space="preserve">Author contributions.</w:t>
      </w:r>
      <w:r>
        <w:t xml:space="preserve"> </w:t>
      </w:r>
      <w:r>
        <w:t xml:space="preserve">[CRediT roles to be completed: conceptualization, methodology, software, investigation, writing — to be assigned by the author.]</w:t>
      </w:r>
      <w:r>
        <w:t xml:space="preserve"> </w:t>
      </w:r>
      <w:r>
        <w:rPr>
          <w:b/>
          <w:bCs/>
        </w:rPr>
        <w:t xml:space="preserve">Use of large language models.</w:t>
      </w:r>
      <w:r>
        <w:t xml:space="preserve"> </w:t>
      </w:r>
      <w:r>
        <w:t xml:space="preserve">AI agent assistance (ZCode CLI with GLM models) was used under human direction for pipeline execution, code generation, and internal consistency auditing; the author designed the study, verified all outputs, and is accountable for all content including citations. [Tool/version/date to be completed at submission.]</w:t>
      </w:r>
    </w:p>
    <w:bookmarkEnd w:id="26"/>
    <w:bookmarkStart w:id="27" w:name="Xb469b552ac1da23517203c3ac9c0e42315e4cd4"/>
    <w:p>
      <w:pPr>
        <w:pStyle w:val="Heading2"/>
      </w:pPr>
      <w:r>
        <w:t xml:space="preserve">References (Springer Basic; author to verify each entry before submission — zero-fabrication policy)</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https://doi.org/10.1109/TBME.2017.2664802 [author to verify]</w:t>
      </w:r>
    </w:p>
    <w:p>
      <w:pPr>
        <w:pStyle w:val="Compact"/>
        <w:numPr>
          <w:ilvl w:val="0"/>
          <w:numId w:val="1002"/>
        </w:numPr>
      </w:pPr>
      <w:r>
        <w:t xml:space="preserve">Tripathi A, et al (2023) [Keystroke-dynamics-based PD detection]. IEEE Trans Biomed Eng [author to complete]</w:t>
      </w:r>
    </w:p>
    <w:p>
      <w:pPr>
        <w:pStyle w:val="Compact"/>
        <w:numPr>
          <w:ilvl w:val="0"/>
          <w:numId w:val="1002"/>
        </w:numPr>
      </w:pPr>
      <w:r>
        <w:t xml:space="preserve">Francesconi F, et al (2025) Cross-dataset multivariate time-series model for Parkinson’s Diagnosis via Keyboard Dynamics. arXiv:2510.15950. https://arxiv.org/abs/2510.15950</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 https://doi.org/10.1561/2200000101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 https://doi.org/10.1214/23-AOS2276</w:t>
      </w:r>
    </w:p>
    <w:p>
      <w:pPr>
        <w:pStyle w:val="Compact"/>
        <w:numPr>
          <w:ilvl w:val="0"/>
          <w:numId w:val="1002"/>
        </w:numPr>
      </w:pPr>
      <w:r>
        <w:t xml:space="preserve">Einbinder B-S, Feldman S, Bates S, et al (2024) Label noise robustness of conformal prediction. J Mach Learn Res [author to verify volume/pages; arXiv:2209.14295]</w:t>
      </w:r>
    </w:p>
    <w:p>
      <w:pPr>
        <w:pStyle w:val="Compact"/>
        <w:numPr>
          <w:ilvl w:val="0"/>
          <w:numId w:val="1002"/>
        </w:numPr>
      </w:pPr>
      <w:r>
        <w:t xml:space="preserve">Han W, et al (2026) The label complexity of class-conditional coverage under distribution shift. arXiv:2607.18088. https://arxiv.org/abs/2607.18088</w:t>
      </w:r>
    </w:p>
    <w:p>
      <w:pPr>
        <w:pStyle w:val="Compact"/>
        <w:numPr>
          <w:ilvl w:val="0"/>
          <w:numId w:val="1002"/>
        </w:numPr>
      </w:pPr>
      <w:r>
        <w:t xml:space="preserve">Diaz-Rincon A, et al (2025) Uncertainty-aware prediction of Parkinson’s disease medication needs: a two-stage conformal prediction approach. PMLR 298. https://arxiv.org/abs/2508.10284</w:t>
      </w:r>
    </w:p>
    <w:p>
      <w:pPr>
        <w:pStyle w:val="Compact"/>
        <w:numPr>
          <w:ilvl w:val="0"/>
          <w:numId w:val="1002"/>
        </w:numPr>
      </w:pPr>
      <w:r>
        <w:t xml:space="preserve">[SGC-RML team] (2026) [Multimodal PD digital assessment with conformal calibration and selective refusal]. arXiv:2605.08302 [author to complete]</w:t>
      </w:r>
    </w:p>
    <w:p>
      <w:pPr>
        <w:pStyle w:val="Compact"/>
        <w:numPr>
          <w:ilvl w:val="0"/>
          <w:numId w:val="1002"/>
        </w:numPr>
      </w:pPr>
      <w:r>
        <w:t xml:space="preserve">Tuwani R, Beam E, et al (2023) [CP coverage audit in eICU]. [author to complete]</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 https://doi.org/10.1136/bmj-2023-078378</w:t>
      </w:r>
    </w:p>
    <w:p>
      <w:pPr>
        <w:pStyle w:val="Compact"/>
        <w:numPr>
          <w:ilvl w:val="0"/>
          <w:numId w:val="1002"/>
        </w:numPr>
      </w:pPr>
      <w:r>
        <w:t xml:space="preserve">Luo H, et al (2025) MAPIE: a library for conformal prediction. [author to complete per JOSS record]</w:t>
      </w:r>
    </w:p>
    <w:p>
      <w:pPr>
        <w:pStyle w:val="BlockText"/>
      </w:pPr>
      <w:r>
        <w:rPr>
          <w:b/>
          <w:bCs/>
        </w:rPr>
        <w:t xml:space="preserve">Author to-do before submission (journal requirements):</w:t>
      </w:r>
      <w:r>
        <w:t xml:space="preserve"> </w:t>
      </w:r>
      <w:r>
        <w:t xml:space="preserve">1. Verify every reference against the source (journal zero-fabrication policy); complete the entries marked</w:t>
      </w:r>
      <w:r>
        <w:t xml:space="preserve"> </w:t>
      </w:r>
      <w:r>
        <w:t xml:space="preserve">“[author to complete]”</w:t>
      </w:r>
      <w:r>
        <w:t xml:space="preserve">.</w:t>
      </w:r>
      <w:r>
        <w:t xml:space="preserve"> </w:t>
      </w:r>
      <w:r>
        <w:t xml:space="preserve">2. Complete title page (author name, affiliation, ORCID, email) and CRediT roles.</w:t>
      </w:r>
      <w:r>
        <w:t xml:space="preserve"> </w:t>
      </w:r>
      <w:r>
        <w:t xml:space="preserve">3. Complete the LLM-use disclosure (tool, version, date) and all bracketed Statements.</w:t>
      </w:r>
      <w:r>
        <w:t xml:space="preserve"> </w:t>
      </w:r>
      <w:r>
        <w:t xml:space="preserve">4. Complete and upload the</w:t>
      </w:r>
      <w:r>
        <w:t xml:space="preserve"> </w:t>
      </w:r>
      <w:r>
        <w:rPr>
          <w:b/>
          <w:bCs/>
        </w:rPr>
        <w:t xml:space="preserve">TRIPOD+AI checklist</w:t>
      </w:r>
      <w:r>
        <w:t xml:space="preserve"> </w:t>
      </w:r>
      <w:r>
        <w:t xml:space="preserve">as supplementary information.</w:t>
      </w:r>
      <w:r>
        <w:t xml:space="preserve"> </w:t>
      </w:r>
      <w:r>
        <w:t xml:space="preserve">5. Convert to Word (10-pt, double-spaced), figures embedded at ≥600 dpi (combination art), captions starting</w:t>
      </w:r>
      <w:r>
        <w:t xml:space="preserve"> </w:t>
      </w:r>
      <w:r>
        <w:t xml:space="preserve">“Fig.”</w:t>
      </w:r>
      <w:r>
        <w:t xml:space="preserve"> </w:t>
      </w:r>
      <w:r>
        <w:t xml:space="preserve">in bold.</w:t>
      </w:r>
      <w:r>
        <w:t xml:space="preserve"> </w:t>
      </w:r>
      <w:r>
        <w:t xml:space="preserve">6. Word count of main text (Introduction→Conclusions): ≈3,7xx — recheck ≤ 4,000 after revisions.</w:t>
      </w:r>
    </w:p>
    <w:p>
      <w:r>
        <w:pict>
          <v:rect style="width:0;height:1.5pt" o:hralign="center" o:hrstd="t" o:hr="t"/>
        </w:pict>
      </w:r>
    </w:p>
    <w:bookmarkEnd w:id="27"/>
    <w:bookmarkEnd w:id="28"/>
    <w:bookmarkStart w:id="44" w:name="X820857df504aaad5bee77782404ac67a25e7b61"/>
    <w:p>
      <w:pPr>
        <w:pStyle w:val="Heading1"/>
      </w:pPr>
      <w:r>
        <w:t xml:space="preserve">Figures (embedded for internal review; final submission places them at first citation)</w:t>
      </w:r>
    </w:p>
    <w:p>
      <w:pPr>
        <w:pStyle w:val="FirstParagraph"/>
      </w:pPr>
      <w:r>
        <w:rPr>
          <w:b/>
          <w:bCs/>
        </w:rPr>
        <w:t xml:space="preserve">Fig. 1</w:t>
      </w:r>
      <w:r>
        <w:t xml:space="preserve"> </w:t>
      </w:r>
      <w:r>
        <w:t xml:space="preserve">Primary-family coverage on target cohorts (Clopper-Pearson 95% CI). Dashed line = nominal 0.90; dotted = pre-specified operational audit threshold 0.80. LR = primary reference; LGBM = comparator (DEC-T1).</w:t>
      </w:r>
    </w:p>
    <w:p>
      <w:pPr>
        <w:pStyle w:val="CaptionedFigure"/>
      </w:pPr>
      <w:r>
        <w:drawing>
          <wp:inline>
            <wp:extent cx="5334000" cy="2296583"/>
            <wp:effectExtent b="0" l="0" r="0" t="0"/>
            <wp:docPr descr="Fig1" title="" id="30" name="Picture"/>
            <a:graphic>
              <a:graphicData uri="http://schemas.openxmlformats.org/drawingml/2006/picture">
                <pic:pic>
                  <pic:nvPicPr>
                    <pic:cNvPr descr="../figures/fig1_primary_forest.png" id="31" name="Picture"/>
                    <pic:cNvPicPr>
                      <a:picLocks noChangeArrowheads="1" noChangeAspect="1"/>
                    </pic:cNvPicPr>
                  </pic:nvPicPr>
                  <pic:blipFill>
                    <a:blip r:embed="rId29"/>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t xml:space="preserve">Fig1</w:t>
      </w:r>
    </w:p>
    <w:p>
      <w:pPr>
        <w:pStyle w:val="BodyText"/>
      </w:pPr>
      <w:r>
        <w:rPr>
          <w:b/>
          <w:bCs/>
        </w:rPr>
        <w:t xml:space="preserve">Fig. 2</w:t>
      </w:r>
      <w:r>
        <w:t xml:space="preserve"> </w:t>
      </w:r>
      <w:r>
        <w:t xml:space="preserve">PD/HC class-conditional coverage (safety diagnostic, not a distribution-free guarantee). Left = LR; right = LGBM. Squares = PD; circles = HC; annotations give per-class n.</w:t>
      </w:r>
    </w:p>
    <w:p>
      <w:pPr>
        <w:pStyle w:val="CaptionedFigure"/>
      </w:pPr>
      <w:r>
        <w:drawing>
          <wp:inline>
            <wp:extent cx="5334000" cy="2222500"/>
            <wp:effectExtent b="0" l="0" r="0" t="0"/>
            <wp:docPr descr="Fig2" title="" id="33" name="Picture"/>
            <a:graphic>
              <a:graphicData uri="http://schemas.openxmlformats.org/drawingml/2006/picture">
                <pic:pic>
                  <pic:nvPicPr>
                    <pic:cNvPr descr="../figures/fig2_class_conditional.png" id="34" name="Picture"/>
                    <pic:cNvPicPr>
                      <a:picLocks noChangeArrowheads="1" noChangeAspect="1"/>
                    </pic:cNvPicPr>
                  </pic:nvPicPr>
                  <pic:blipFill>
                    <a:blip r:embed="rId32"/>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Fig2</w:t>
      </w:r>
    </w:p>
    <w:p>
      <w:pPr>
        <w:pStyle w:val="BodyText"/>
      </w:pPr>
      <w:r>
        <w:rPr>
          <w:b/>
          <w:bCs/>
        </w:rPr>
        <w:t xml:space="preserve">Fig. 3</w:t>
      </w:r>
      <w:r>
        <w:t xml:space="preserve"> </w:t>
      </w:r>
      <w:r>
        <w:t xml:space="preserve">Decoupling map: ΔAUC vs Δcoverage (50-seed means, 12 non-independent directions; descriptive, no correlation test). Left = LR; right = LGBM.</w:t>
      </w:r>
    </w:p>
    <w:p>
      <w:pPr>
        <w:pStyle w:val="CaptionedFigure"/>
      </w:pPr>
      <w:r>
        <w:drawing>
          <wp:inline>
            <wp:extent cx="5334000" cy="2518833"/>
            <wp:effectExtent b="0" l="0" r="0" t="0"/>
            <wp:docPr descr="Fig3" title="" id="36" name="Picture"/>
            <a:graphic>
              <a:graphicData uri="http://schemas.openxmlformats.org/drawingml/2006/picture">
                <pic:pic>
                  <pic:nvPicPr>
                    <pic:cNvPr descr="../figures/fig3_decoupling.png" id="37" name="Picture"/>
                    <pic:cNvPicPr>
                      <a:picLocks noChangeArrowheads="1" noChangeAspect="1"/>
                    </pic:cNvPicPr>
                  </pic:nvPicPr>
                  <pic:blipFill>
                    <a:blip r:embed="rId35"/>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Fig3</w:t>
      </w:r>
    </w:p>
    <w:p>
      <w:pPr>
        <w:pStyle w:val="BodyText"/>
      </w:pPr>
      <w:r>
        <w:rPr>
          <w:b/>
          <w:bCs/>
        </w:rPr>
        <w:t xml:space="preserve">Fig. 4</w:t>
      </w:r>
      <w:r>
        <w:t xml:space="preserve"> </w:t>
      </w:r>
      <w:r>
        <w:t xml:space="preserve">Recovery-cost curves. Open markers = degenerate full-set calibration (m&lt;9); stars = weighted CP at 0 labels (rejection 0.86–1.00). Non-monotonic segments reflect single-draw sampling noise (pre-declared).</w:t>
      </w:r>
    </w:p>
    <w:p>
      <w:pPr>
        <w:pStyle w:val="CaptionedFigure"/>
      </w:pPr>
      <w:r>
        <w:drawing>
          <wp:inline>
            <wp:extent cx="5334000" cy="2667000"/>
            <wp:effectExtent b="0" l="0" r="0" t="0"/>
            <wp:docPr descr="Fig4" title="" id="39" name="Picture"/>
            <a:graphic>
              <a:graphicData uri="http://schemas.openxmlformats.org/drawingml/2006/picture">
                <pic:pic>
                  <pic:nvPicPr>
                    <pic:cNvPr descr="../figures/fig4_recovery_cost.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Fig4</w:t>
      </w:r>
    </w:p>
    <w:p>
      <w:pPr>
        <w:pStyle w:val="BodyText"/>
      </w:pPr>
      <w:r>
        <w:rPr>
          <w:b/>
          <w:bCs/>
        </w:rPr>
        <w:t xml:space="preserve">Fig. 5</w:t>
      </w:r>
      <w:r>
        <w:t xml:space="preserve"> </w:t>
      </w:r>
      <w:r>
        <w:t xml:space="preserve">Stress-test A dose–response. Left = calibration-only flip (theory-aligned); right = train+calibration flip (deployment). Arms encoded by color and line style.</w:t>
      </w:r>
    </w:p>
    <w:p>
      <w:pPr>
        <w:pStyle w:val="CaptionedFigure"/>
      </w:pPr>
      <w:r>
        <w:drawing>
          <wp:inline>
            <wp:extent cx="5334000" cy="2222500"/>
            <wp:effectExtent b="0" l="0" r="0" t="0"/>
            <wp:docPr descr="Fig5" title="" id="42" name="Picture"/>
            <a:graphic>
              <a:graphicData uri="http://schemas.openxmlformats.org/drawingml/2006/picture">
                <pic:pic>
                  <pic:nvPicPr>
                    <pic:cNvPr descr="../figures/fig5_dose_response.png" id="43" name="Picture"/>
                    <pic:cNvPicPr>
                      <a:picLocks noChangeArrowheads="1" noChangeAspect="1"/>
                    </pic:cNvPicPr>
                  </pic:nvPicPr>
                  <pic:blipFill>
                    <a:blip r:embed="rId4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Fig5</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2026-09-27T03:40:41Z</dcterms:created>
  <dcterms:modified xsi:type="dcterms:W3CDTF">2026-09-27T03:40:41Z</dcterms:modified>
</cp:coreProperties>
</file>

<file path=docProps/custom.xml><?xml version="1.0" encoding="utf-8"?>
<Properties xmlns="http://schemas.openxmlformats.org/officeDocument/2006/custom-properties" xmlns:vt="http://schemas.openxmlformats.org/officeDocument/2006/docPropsVTypes"/>
</file>