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0de58872f3d41524c8abf166b681918ce4f957"/>
    <w:p>
      <w:pPr>
        <w:pStyle w:val="Heading1"/>
      </w:pPr>
      <w:r>
        <w:t xml:space="preserve">Score-Dependent Conformal Coverage Under Cross-Dataset Deployment of Parkinson’s Disease Typing Classifiers: A Pre-Registered Four-Dataset Audit</w:t>
      </w:r>
    </w:p>
    <w:p>
      <w:pPr>
        <w:pStyle w:val="FirstParagraph"/>
      </w:pPr>
      <w:r>
        <w:rPr>
          <w:b/>
          <w:bCs/>
        </w:rPr>
        <w:t xml:space="preserve">Manuscript draft v1.0-rev (Journal of Medical Systems — Research article, main text ≤ 4,000 words)</w:t>
      </w:r>
      <w:r>
        <w:t xml:space="preserve"> </w:t>
      </w:r>
      <w:r>
        <w:t xml:space="preserve">2026-09-27 </w:t>
      </w:r>
      <w:r>
        <w:rPr>
          <w:rFonts w:hint="eastAsia"/>
        </w:rPr>
        <w:t xml:space="preserve">｜</w:t>
      </w:r>
      <w:r>
        <w:t xml:space="preserve"> Revision round 1 (three-reviewer feedback applied) </w:t>
      </w:r>
      <w:r>
        <w:rPr>
          <w:rFonts w:hint="eastAsia"/>
        </w:rPr>
        <w:t xml:space="preserve">｜</w:t>
      </w:r>
      <w:r>
        <w:t xml:space="preserve"> Results source: frozen tag</w:t>
      </w:r>
      <w:r>
        <w:t xml:space="preserve"> </w:t>
      </w:r>
      <w:r>
        <w:rPr>
          <w:rStyle w:val="VerbatimChar"/>
        </w:rPr>
        <w:t xml:space="preserve">results-frozen-v1</w:t>
      </w:r>
    </w:p>
    <w:p>
      <w:pPr>
        <w:pStyle w:val="BlockText"/>
      </w:pPr>
      <w:r>
        <w:rPr>
          <w:b/>
          <w:bCs/>
        </w:rPr>
        <w:t xml:space="preserve">Title page (author to complete before submission):</w:t>
      </w:r>
      <w:r>
        <w:t xml:space="preserve"> </w:t>
      </w:r>
      <w:r>
        <w:t xml:space="preserve">Author: Taylor [Given name, Family name]; Affiliation: [Department, Institution, City, Country]; ORCID: [__]; Corresponding email: [__]. CRediT roles: [to assign].</w:t>
      </w:r>
    </w:p>
    <w:p>
      <w:pPr>
        <w:pStyle w:val="FirstParagraph"/>
      </w:pPr>
      <w:r>
        <w:rPr>
          <w:b/>
          <w:bCs/>
        </w:rPr>
        <w:t xml:space="preserve">Keywords:</w:t>
      </w:r>
      <w:r>
        <w:t xml:space="preserve"> </w:t>
      </w:r>
      <w:r>
        <w:t xml:space="preserve">conformal prediction; Parkinson’s disease; keystroke dynamics; coverage audit; cross-dataset deployment; clinical decision support</w:t>
      </w:r>
    </w:p>
    <w:p>
      <w:r>
        <w:pict>
          <v:rect style="width:0;height:1.5pt" o:hralign="center" o:hrstd="t" o:hr="t"/>
        </w:pict>
      </w:r>
    </w:p>
    <w:bookmarkStart w:id="9" w:name="abstract"/>
    <w:p>
      <w:pPr>
        <w:pStyle w:val="Heading2"/>
      </w:pPr>
      <w:r>
        <w:t xml:space="preserve">Abstract</w:t>
      </w:r>
    </w:p>
    <w:p>
      <w:pPr>
        <w:pStyle w:val="FirstParagraph"/>
      </w:pPr>
      <w:r>
        <w:t xml:space="preserve">Background: Conformal prediction (CP) provides distribution-free prediction sets with guaranteed marginal coverage under exchangeability. In keystroke-based Parkinson’s disease (PD) detection, cross-dataset deployment degrades discrimination, but the fate of the coverage guarantee had not been audited. Methods: Under a pre-registered protocol, we audited split-CP coverage (α = 0.10; standard split-conformal scores; logistic-regression reference model) when classifiers trained on one public keystroke dataset are deployed on another, across four public datasets (frozen cohort: 475 subjects). The pre-registered primary family covered three high-power transfer directions with Holm correction. PD/HC class-conditional coverage was a pre-specified safety diagnostic. Recovery (target-domain calibration budgets) and attribution (prevalence-resampling and label-flip stress tests against pre-specified practical tolerances) were pre-registered secondary analyses. Results: All three primary directions were Incompatible — a pre-registered audit verdict of statistical incompatibility with the nominal 0.90 level, not a clinical determination (family-controlled): Tappy→MIT 0.598 [95% CI 0.483–0.704], MIT→Tappy 0.850 [0.788–0.899], clinical-pool→self-report 0.732 [0.684–0.777]. Marginal totals concealed severe class asymmetry (PD-conditional coverage 0.214 in Tappy→MIT; HC 1.000). Coverage degradation was score-dependent: a LightGBM comparator with lower discrimination maintained 0.925–1.000 class-conditional coverage in every primary direction. Recovery required 9–18 target labels (5% budgets) in two directions but was not achieved within a 30% budget in Tappy→MIT by the CI criterion; label-free weighting achieved coverage only by abstaining on 86–100% of subjects. Prevalence re-matching and label corruption, alone or combined, did not reproduce the observed phenotype. Conclusions: Discrimination and coverage behave as distinct reliability dimensions under deployment shift; deployment reporting should include coverage audits and class-conditional diagnostics alongside AUC.</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Keystroke dynamics have been proposed as a scalable digital-biomarker candidate for Parkinson’s disease (PD) screening, and public datasets have supported a decade of classifier development evaluated almost exclusively by discrimination — typically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worst of all when it outputs a single confident label that is wrong, which is precisely the case a triage workflow cannot afford. Conformal prediction (CP) promises such calibration: under exchangeability, split CP covers the true label with probability at least 1−α regardless of the underlying model [5,6]. Deployment across datasets breaks exchangeability, and the behavior of CP coverage under realistic clinical data shift has been studied mostly in theory or outside medicine [7–10]. To our knowledge, this is the first systematic empirical audit of conformal prediction coverage across publicly available Parkinson’s keystroke datasets.</w:t>
      </w:r>
    </w:p>
    <w:p>
      <w:pPr>
        <w:pStyle w:val="BodyText"/>
      </w:pPr>
      <w:r>
        <w:t xml:space="preserve">This audit characterizes whether discrimination degradation and coverage degradation exhibit non-identical patterns across deployment shifts (pre-registered hypothesis H1). We report three lines of pre-registered evidence that they do: the primary-family coverage verdicts are uniformly negative while discrimination remains moderate; a comparator model with lower discrimination exhibits higher coverage, so coverage failure is score-dependent rather than a property of the task shift alone; and controlled label manipulations that reproduce class-conditional collapse in form do not reproduce the observed phenotype in magnitude — prevalence and noise alone are insufficient, pointing to the feature-space shift itself. This audit evaluates research-grade classifiers on public datasets; it establishes no clinical screening validity, and the models studied are not validated screening devices. We report the work as a mapping-reliability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and family-wise controlled primary endpoints (novelty claim stated once, Introduction); (ii) a coverage–discrimination decoupling map across all 12 ordered transfer directions and two score functions;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 coverage-to-workflow mapping: singleton = auto-pass, doubleton = manual review, full set = system rejection).</w:t>
      </w:r>
    </w:p>
    <w:bookmarkEnd w:id="10"/>
    <w:bookmarkStart w:id="16" w:name="methods"/>
    <w:p>
      <w:pPr>
        <w:pStyle w:val="Heading2"/>
      </w:pPr>
      <w:r>
        <w:t xml:space="preserve">2. Methods</w:t>
      </w:r>
    </w:p>
    <w:bookmarkStart w:id="11" w:name="data-and-cohorts"/>
    <w:p>
      <w:pPr>
        <w:pStyle w:val="Heading3"/>
      </w:pPr>
      <w:r>
        <w:t xml:space="preserve">2.1 Data and cohorts</w:t>
      </w:r>
    </w:p>
    <w:p>
      <w:pPr>
        <w:pStyle w:val="FirstParagraph"/>
      </w:pPr>
      <w:r>
        <w:t xml:space="preserve">Four public datasets were used: MIT-CSXPD (clinical gold standard), Tappy Keplar (self-report, bring-your-own-device), TyPD (clinical, i-PROGNOSIS), and Online English (self-report, web-based). Cleaning rules were pre-registered and label-blind (seven steps; session validity ≥ 100 digraphs; person eligibility ≥ 300 valid digraphs). The frozen cohort comprised 475 subjects (PD 270 /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p>
      <w:pPr>
        <w:pStyle w:val="BodyText"/>
      </w:pPr>
      <w:r>
        <w:t xml:space="preserve">This study used exclusively de-identified public datasets released for research use; no new human data were collected and no intervention occurred. We report per the TRIPOD+AI statement [14]; the completed checklist accompanies the submission as supplementary material. The analysis plan was pre-registered on the Open Science Framework before any cross-dataset coverage was computed (2-year embargo; frozen plan v1, tag</w:t>
      </w:r>
      <w:r>
        <w:t xml:space="preserve"> </w:t>
      </w:r>
      <w:r>
        <w:rPr>
          <w:rStyle w:val="VerbatimChar"/>
        </w:rPr>
        <w:t xml:space="preserve">v1.0-prereg</w:t>
      </w:r>
      <w:r>
        <w:t xml:space="preserve">; access during embargo on request). AI agent assistance (ZCode CLI with GLM models) was used under human direction for pipeline execution, code generation, and internal consistency auditing; the author designed the study, verified all outputs, and is accountable for all content, including citations. [Tool version and usage dates to be completed at submission.]</w:t>
      </w:r>
    </w:p>
    <w:bookmarkEnd w:id="11"/>
    <w:bookmarkStart w:id="12" w:name="features-and-models"/>
    <w:p>
      <w:pPr>
        <w:pStyle w:val="Heading3"/>
      </w:pPr>
      <w:r>
        <w:t xml:space="preserve">2.2 Features and models</w:t>
      </w:r>
    </w:p>
    <w:p>
      <w:pPr>
        <w:pStyle w:val="FirstParagraph"/>
      </w:pPr>
      <w:r>
        <w:t xml:space="preserve">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L2-regularized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2"/>
    <w:bookmarkStart w:id="13" w:name="conformal-procedures"/>
    <w:p>
      <w:pPr>
        <w:pStyle w:val="Heading3"/>
      </w:pPr>
      <w:r>
        <w:t xml:space="preserve">2.3 Conformal procedures</w:t>
      </w:r>
    </w:p>
    <w:p>
      <w:pPr>
        <w:pStyle w:val="FirstParagraph"/>
      </w:pPr>
      <w:r>
        <w:t xml:space="preserve">Split CP used LAC scores (1 − true-class probability), a stratified 30% source calibration split (single confirmatory seed = 1, the first registered seed; 50-seed summaries are descriptive), α = 0.10, and the finite-sample order-statistic quantile at level ⌈(n+1)(1−α)⌉.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MAPIE 1.5.0 pointwise (1800/1800) and passes 18 synthetic tests.</w:t>
      </w:r>
    </w:p>
    <w:bookmarkEnd w:id="13"/>
    <w:bookmarkStart w:id="14" w:name="outcomes-and-verdicts"/>
    <w:p>
      <w:pPr>
        <w:pStyle w:val="Heading3"/>
      </w:pPr>
      <w:r>
        <w:t xml:space="preserve">2.4 Outcomes and verdicts</w:t>
      </w:r>
    </w:p>
    <w:p>
      <w:pPr>
        <w:pStyle w:val="FirstParagraph"/>
      </w:pPr>
      <w:r>
        <w:t xml:space="preserve">The pre-registered primary family was three high-power directions × α = 0.10 × marginal coverage — Tappy→MIT, MIT→Tappy, and clinical-pool (MIT+TyPD) → self-report (Tappy+OE) — with one-sided binomial tests (H0: true coverage ≥ 0.90) and Holm correction at family-wise 0.10 (confirmatory inference). Operationally, each direction also receives an audit label from the unadjusted 95% Clopper-Pearson interval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w:t>
      </w:r>
      <w:r>
        <w:t xml:space="preserve"> </w:t>
      </w:r>
      <w:r>
        <w:t xml:space="preserve">“Holm-adjusted CI”</w:t>
      </w:r>
      <w:r>
        <w:t xml:space="preserve"> </w:t>
      </w:r>
      <w:r>
        <w:t xml:space="preserve">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w:t>
      </w:r>
    </w:p>
    <w:bookmarkEnd w:id="14"/>
    <w:bookmarkStart w:id="15" w:name="recovery-and-attribution"/>
    <w:p>
      <w:pPr>
        <w:pStyle w:val="Heading3"/>
      </w:pPr>
      <w:r>
        <w:t xml:space="preserve">2.5 Recovery and attribution</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5"/>
    <w:bookmarkEnd w:id="16"/>
    <w:bookmarkStart w:id="23" w:name="results"/>
    <w:p>
      <w:pPr>
        <w:pStyle w:val="Heading2"/>
      </w:pPr>
      <w:r>
        <w:t xml:space="preserve">3. Results</w:t>
      </w:r>
    </w:p>
    <w:bookmarkStart w:id="17" w:name="X9c70a236ea9e521820bc0113890374f14780834"/>
    <w:p>
      <w:pPr>
        <w:pStyle w:val="Heading3"/>
      </w:pPr>
      <w:r>
        <w:t xml:space="preserve">3.1 Primary family: all three directions Incompatible</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so deficits reflect confident miscoverage rather than uninformative outputs. The singleton rate is the fraction of subjects receiving a single-class prediction set — the system’s committed diagnosis. The LightGBM comparator covered 0.963–0.988 in the same directions with near-full sets (mean 1.92–1.97; singleton rates 0.03–0.08) — coverage bought conservatively.</w:t>
      </w:r>
    </w:p>
    <w:bookmarkEnd w:id="17"/>
    <w:bookmarkStart w:id="18" w:name="X444cf6b90f682642245e558061b2d34a1217b29"/>
    <w:p>
      <w:pPr>
        <w:pStyle w:val="Heading3"/>
      </w:pPr>
      <w:r>
        <w:t xml:space="preserve">3.2 Safety diagnostic: marginal coverage concealed class-conditional collapse</w:t>
      </w:r>
    </w:p>
    <w:p>
      <w:pPr>
        <w:pStyle w:val="FirstParagraph"/>
      </w:pPr>
      <w:r>
        <w:t xml:space="preserve">In Tappy→MIT, PD-conditional coverage was 0.214 [0.103, 0.368] (n = 42) while HC coverage was 1.000 (n = 40): 33 of 42 PD patients (78.6%) received sets excluding their true label — predominantly confident singletons containing only the non-PD label, i.e., false reassurance under an auto-pass screening workflow (Fig. 2). The under-served class flipped with target prevalence: HC-conditional coverage was the deficient one in the two PD-heavy targets (0.700 in MIT→Tappy; 0.627 in clinical→self-report). The comparator score was near-uniform across classes (0.925–1.000). These are measured, unadjusted diagnostics on a frozen cohort, not guarantees.</w:t>
      </w:r>
    </w:p>
    <w:bookmarkEnd w:id="18"/>
    <w:bookmarkStart w:id="19" w:name="Xa706637702e0862c003bc8d2f7df0ed6e7c0058"/>
    <w:p>
      <w:pPr>
        <w:pStyle w:val="Heading3"/>
      </w:pPr>
      <w:r>
        <w:t xml:space="preserve">3.3 Decoupling: discrimination and coverage degrade on different axes</w:t>
      </w:r>
    </w:p>
    <w:p>
      <w:pPr>
        <w:pStyle w:val="FirstParagraph"/>
      </w:pPr>
      <w:r>
        <w:t xml:space="preserve">Across all 12 transfer directions, discrimination and coverage moved asynchronously in both score functions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w:t>
      </w:r>
    </w:p>
    <w:bookmarkEnd w:id="19"/>
    <w:bookmarkStart w:id="20" w:name="Xc4247633f4a55370e106b5a01ac4c5c38032c44"/>
    <w:p>
      <w:pPr>
        <w:pStyle w:val="Heading3"/>
      </w:pPr>
      <w:r>
        <w:t xml:space="preserve">3.4 Recovery: cheap where the score survives, expensive where it collapses</w:t>
      </w:r>
    </w:p>
    <w:p>
      <w:pPr>
        <w:pStyle w:val="FirstParagraph"/>
      </w:pPr>
      <w:r>
        <w:t xml:space="preserve">Target recalibration with 9 labels restored the audit threshold with CI support in MIT→Tappy (0.982 [0.947, 0.996]); 18 labels sufficed for clinical→self-report (0.876 [0.837, 0.909]).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Fewer than 9 target labels yield degenerate full-set calibration sets at α = 0.10.</w:t>
      </w:r>
    </w:p>
    <w:bookmarkEnd w:id="20"/>
    <w:bookmarkStart w:id="21" w:name="X1927d06f735387317775ead2afc113b2067a9b3"/>
    <w:p>
      <w:pPr>
        <w:pStyle w:val="Heading3"/>
      </w:pPr>
      <w:r>
        <w:t xml:space="preserve">3.5 Attribution: the observed phenotype is not manufactured by prevalence or noise alone</w:t>
      </w:r>
    </w:p>
    <w:p>
      <w:pPr>
        <w:pStyle w:val="FirstParagraph"/>
      </w:pPr>
      <w:r>
        <w:t xml:space="preserve">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5).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the feature-space shift itself remains an uneliminated factor (no causal identification claimed) and is not a target that prevalence correction or label cleaning could address on their own.</w:t>
      </w:r>
    </w:p>
    <w:bookmarkEnd w:id="21"/>
    <w:bookmarkStart w:id="22" w:name="robustness-and-subgroups"/>
    <w:p>
      <w:pPr>
        <w:pStyle w:val="Heading3"/>
      </w:pPr>
      <w:r>
        <w:t xml:space="preserve">3.6 Robustness and subgroups</w:t>
      </w:r>
    </w:p>
    <w:p>
      <w:pPr>
        <w:pStyle w:val="FirstParagraph"/>
      </w:pPr>
      <w:r>
        <w:t xml:space="preserve">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family-level conclusion (mean coverage below 0.90 across splits, 50-seed z ≈ 5.7 against 0.90) and the pre-registered power analysis are provided in the supplement. Sex-stratified coverage (computable only for Tappy-origin targets) showed an 8.7 pp male deficit in MIT→Tappy; MIT and OE publish no demographic fields, which is reported as a limitation rather than imputed.</w:t>
      </w:r>
    </w:p>
    <w:bookmarkEnd w:id="22"/>
    <w:bookmarkEnd w:id="23"/>
    <w:bookmarkStart w:id="24" w:name="discussion"/>
    <w:p>
      <w:pPr>
        <w:pStyle w:val="Heading2"/>
      </w:pPr>
      <w:r>
        <w:t xml:space="preserve">4. Discussion</w:t>
      </w:r>
    </w:p>
    <w:p>
      <w:pPr>
        <w:pStyle w:val="FirstParagraph"/>
      </w:pPr>
      <w:r>
        <w:t xml:space="preserve">Principal finding. Under cross-dataset deployment of PD typing classifiers, the conformal coverage guarantee behaves as a reliability dimension distinct from discrimination: it fails family-wisely where discrimination looks acceptable, survives where discrimination looks poor, conceals class-conditional collapse behind acceptable marginal totals, recovers at widely different label costs, and cannot be reproduced by the tested prevalence and label-noise mechanisms alone. A deployed screening system reporting only AUC has characterized half of its own reliability.</w:t>
      </w:r>
    </w:p>
    <w:p>
      <w:pPr>
        <w:pStyle w:val="BodyText"/>
      </w:pPr>
      <w:r>
        <w:t xml:space="preserve">For practice — coverage auditing as deployment governance. Operationally, these results say a deployment can pass its AUC acceptance test yet silently route most positive patients to an auto-pass path — which is why coverage belongs in the acceptance gate, not the post-hoc evaluation. Concretely: (i) treat the pre-registered verdict vocabulary as a pre-deployment acceptance gate (Undetermined/Incompatible = do not sign off without remediation evidence), and schedule periodic re-audits with re-triggering on upstream device or population changes; (ii) budget a small, class-stratified standing calibration set per deployment site — this evidence supports a 9–18 subject budget where the score survives, and a do-not-deploy (or abstention-only workflow) policy where it does not; (iii) make class-conditional audit results a gating condition for permitting any auto-pass workflow — in Tappy→MIT, auto-passing singletons meant 78.6% of PD patients were silently cleared; at mean set sizes of 1.1–1.5, the manual-review workload that would have caught this is 10–50% of subjects, a modest cost against the failure mode; (iv) position typing-based PD triage as one component of a health-information system referral pathway, not a standalone diagnostic.</w:t>
      </w:r>
    </w:p>
    <w:p>
      <w:pPr>
        <w:pStyle w:val="BodyText"/>
      </w:pPr>
      <w:r>
        <w:t xml:space="preserve">Relation to prior work. Coverage audits of medical CP exist for chest radiographs, ICU mortality, visual domain transfer, EEG, and EHR settings; PD digital phenotyping has used CP for medication-need intervals and selective refusal in multimodal assessment — in-domain. Cross-dataset keystroke benchmarks have left uncertainty unexamined. Our results do not contradict CP theory; they measure what the theory predicts at the boundary of its assumptions, on data a deployment would actually meet.</w:t>
      </w:r>
    </w:p>
    <w:p>
      <w:pPr>
        <w:pStyle w:val="BodyText"/>
      </w:pPr>
      <w:r>
        <w:t xml:space="preserve">Conclusions. Discrimination metrics and coverage guarantees fail independently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score functions’ coverage behavior as part of model selection.</w:t>
      </w:r>
    </w:p>
    <w:bookmarkEnd w:id="24"/>
    <w:bookmarkStart w:id="25"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w:t>
      </w:r>
      <w:r>
        <w:t xml:space="preserve">at the pre-specified doses in one direction. (2) The effective reference model is logistic regression following a pre-registered gate failure of the original LightGBM choice (three runs documented); the amendment was frozen before cross-dataset coverage was computed, and the comparator is reported throughout. (3) Score-dependence is established descriptively across two score functions and 12 non-independent directions; two scores demonstrate that coverage failure is not intrinsic to the task, not a general law of score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w:t>
      </w:r>
    </w:p>
    <w:bookmarkEnd w:id="25"/>
    <w:bookmarkStart w:id="26" w:name="statements-and-declarations"/>
    <w:p>
      <w:pPr>
        <w:pStyle w:val="Heading2"/>
      </w:pPr>
      <w:r>
        <w:t xml:space="preserve">Statements and Declarations</w:t>
      </w:r>
    </w:p>
    <w:p>
      <w:pPr>
        <w:pStyle w:val="FirstParagraph"/>
      </w:pPr>
      <w:r>
        <w:rPr>
          <w:b/>
          <w:bCs/>
        </w:rPr>
        <w:t xml:space="preserve">Funding.</w:t>
      </w:r>
      <w:r>
        <w:t xml:space="preserve"> </w:t>
      </w:r>
      <w:r>
        <w:t xml:space="preserve">[No funding was received for this study / to be completed by the author.]</w:t>
      </w:r>
      <w:r>
        <w:t xml:space="preserve"> </w:t>
      </w:r>
      <w:r>
        <w:rPr>
          <w:b/>
          <w:bCs/>
        </w:rPr>
        <w:t xml:space="preserve">Competing interests.</w:t>
      </w:r>
      <w:r>
        <w:t xml:space="preserve"> </w:t>
      </w:r>
      <w:r>
        <w:t xml:space="preserve">The author declares no competing interests. [To be confirmed.]</w:t>
      </w:r>
      <w:r>
        <w:t xml:space="preserve"> </w:t>
      </w: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institutional review was therefore not required. [Institutional exemption statement to be confirmed by the author.]</w:t>
      </w:r>
      <w:r>
        <w:t xml:space="preserve"> </w:t>
      </w:r>
      <w:r>
        <w:rPr>
          <w:b/>
          <w:bCs/>
        </w:rPr>
        <w:t xml:space="preserve">Consent to participate / to publish.</w:t>
      </w:r>
      <w:r>
        <w:t xml:space="preserve"> </w:t>
      </w:r>
      <w:r>
        <w:t xml:space="preserve">Not applicable: no individual participant data were newly collected; all datasets are public research releases with their own consent frameworks.</w:t>
      </w:r>
      <w:r>
        <w:t xml:space="preserve"> </w:t>
      </w:r>
      <w:r>
        <w:rPr>
          <w:b/>
          <w:bCs/>
        </w:rPr>
        <w:t xml:space="preserve">Data availability.</w:t>
      </w:r>
      <w:r>
        <w:t xml:space="preserve"> </w:t>
      </w:r>
      <w:r>
        <w:t xml:space="preserve">All four datasets are publicly available from their original distributors (MIT-CSXPD via the neuroQWERTY release; Tappy Keplar via the Tappy/BBDP repository, registration required; TyPD via i-PROGNOSIS; Online English via its publication page); the frozen cohort construction with step-by-step inclusion/exclusion counts is released with the code.</w:t>
      </w:r>
      <w:r>
        <w:t xml:space="preserve"> </w:t>
      </w:r>
      <w:r>
        <w:rPr>
          <w:b/>
          <w:bCs/>
        </w:rPr>
        <w:t xml:space="preserve">Code availability.</w:t>
      </w:r>
      <w:r>
        <w:t xml:space="preserve"> </w:t>
      </w:r>
      <w:r>
        <w:t xml:space="preserve">Full pipeline, frozen result tables (tag</w:t>
      </w:r>
      <w:r>
        <w:t xml:space="preserve"> </w:t>
      </w:r>
      <w:r>
        <w:rPr>
          <w:rStyle w:val="VerbatimChar"/>
        </w:rPr>
        <w:t xml:space="preserve">results-frozen-v1</w:t>
      </w:r>
      <w:r>
        <w:t xml:space="preserve">), unit-test suite, and per-cell outputs are archived at [Zenodo/OSF DOI to be minted at acceptance]; the development repository is public.</w:t>
      </w:r>
      <w:r>
        <w:t xml:space="preserve"> </w:t>
      </w:r>
      <w:r>
        <w:rPr>
          <w:b/>
          <w:bCs/>
        </w:rPr>
        <w:t xml:space="preserve">Author contributions.</w:t>
      </w:r>
      <w:r>
        <w:t xml:space="preserve"> </w:t>
      </w:r>
      <w:r>
        <w:t xml:space="preserve">[CRediT roles to be completed: conceptualization, methodology, software, investigation, writing — to be assigned by the author.]</w:t>
      </w:r>
      <w:r>
        <w:t xml:space="preserve"> </w:t>
      </w:r>
      <w:r>
        <w:rPr>
          <w:b/>
          <w:bCs/>
        </w:rPr>
        <w:t xml:space="preserve">Use of large language models.</w:t>
      </w:r>
      <w:r>
        <w:t xml:space="preserve"> </w:t>
      </w:r>
      <w:r>
        <w:t xml:space="preserve">AI agent assistance (ZCode CLI with GLM models) was used under human direction for pipeline execution, code generation, and internal consistency auditing; the author designed the study, verified all outputs, and is accountable for all content, including citations. [Tool version, usage dates, and access method to be completed at submission.]</w:t>
      </w:r>
    </w:p>
    <w:bookmarkEnd w:id="26"/>
    <w:bookmarkStart w:id="27" w:name="Xb469b552ac1da23517203c3ac9c0e42315e4cd4"/>
    <w:p>
      <w:pPr>
        <w:pStyle w:val="Heading2"/>
      </w:pPr>
      <w:r>
        <w:t xml:space="preserve">References (Springer Basic; author to verify each entry before submission — zero-fabrication policy)</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 [author to verify]</w:t>
      </w:r>
    </w:p>
    <w:p>
      <w:pPr>
        <w:pStyle w:val="Compact"/>
        <w:numPr>
          <w:ilvl w:val="0"/>
          <w:numId w:val="1002"/>
        </w:numPr>
      </w:pPr>
      <w:r>
        <w:t xml:space="preserve">Tripathi A, et al (2023) [Keystroke-dynamics-based PD detection on the neuroQWERTY longitudinal cohort]. IEEE Trans Biomed Eng [author to complete]</w:t>
      </w:r>
    </w:p>
    <w:p>
      <w:pPr>
        <w:pStyle w:val="Compact"/>
        <w:numPr>
          <w:ilvl w:val="0"/>
          <w:numId w:val="1002"/>
        </w:numPr>
      </w:pPr>
      <w:r>
        <w:t xml:space="preserve">Francesconi F, et al (2025) Cross-dataset multivariate time-series model for Parkinson’s Diagnosis via Keyboard Dynamics. arXiv:2510.15950. https://arxiv.org/abs/2510.15950</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et al (2024) Label noise robustness of conformal prediction. J Mach Learn Res [author to verify volume/pages; arXiv:2209.14295]</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et al (2025) Uncertainty-aware prediction of Parkinson’s disease medication needs: a two-stage conformal prediction approach. PMLR 298. https://arxiv.org/abs/2508.10284</w:t>
      </w:r>
    </w:p>
    <w:p>
      <w:pPr>
        <w:pStyle w:val="Compact"/>
        <w:numPr>
          <w:ilvl w:val="0"/>
          <w:numId w:val="1002"/>
        </w:numPr>
      </w:pPr>
      <w:r>
        <w:t xml:space="preserve">[SGC-RML team] (2026) SGC-RML: a reliable and interpretable longitudinal assessment for PD in real-world DNS. arXiv:2605.08302 [author to complete]</w:t>
      </w:r>
    </w:p>
    <w:p>
      <w:pPr>
        <w:pStyle w:val="Compact"/>
        <w:numPr>
          <w:ilvl w:val="0"/>
          <w:numId w:val="1002"/>
        </w:numPr>
      </w:pPr>
      <w:r>
        <w:t xml:space="preserve">Tuwani R, Beam E, et al (2023) [CP coverage audit in eICU] [author to complete]</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[MAPIE maintainers] (2025) MAPIE: a library for conformal prediction [author to complete per JOSS record; verify author list]</w:t>
      </w:r>
    </w:p>
    <w:p>
      <w:pPr>
        <w:pStyle w:val="Compact"/>
        <w:numPr>
          <w:ilvl w:val="0"/>
          <w:numId w:val="1002"/>
        </w:numPr>
      </w:pPr>
      <w:r>
        <w:t xml:space="preserve">Lipton ZC, Wang Y-X, Smola A (2018) Detecting and correcting for label shift with black box predictors. In: ICML 35</w:t>
      </w:r>
    </w:p>
    <w:p>
      <w:r>
        <w:pict>
          <v:rect style="width:0;height:1.5pt" o:hralign="center" o:hrstd="t" o:hr="t"/>
        </w:pict>
      </w:r>
    </w:p>
    <w:bookmarkEnd w:id="27"/>
    <w:bookmarkEnd w:id="28"/>
    <w:bookmarkStart w:id="29" w:name="tables"/>
    <w:p>
      <w:pPr>
        <w:pStyle w:val="Heading1"/>
      </w:pPr>
      <w:r>
        <w:t xml:space="preserve">Tables</w:t>
      </w:r>
    </w:p>
    <w:p>
      <w:pPr>
        <w:pStyle w:val="FirstParagraph"/>
      </w:pPr>
      <w:r>
        <w:rPr>
          <w:b/>
          <w:bCs/>
        </w:rPr>
        <w:t xml:space="preserve">Table 1.</w:t>
      </w:r>
      <w:r>
        <w:t xml:space="preserve"> </w:t>
      </w:r>
      <w:r>
        <w:t xml:space="preserve">Frozen cohort construction (subjects; PD/HC).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Role</w:t>
            </w:r>
          </w:p>
        </w:tc>
        <w:tc>
          <w:tcPr/>
          <w:p>
            <w:pPr>
              <w:pStyle w:val="Compact"/>
            </w:pPr>
            <w:r>
              <w:t xml:space="preserve">Eligible</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t xml:space="preserve">Clinical gold standard; source (direction 2, 3) / target (direction 1)</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t xml:space="preserve">Self-report; source (direction 1) / target (direction 2)</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t xml:space="preserve">TyPD (i-PROGNOSIS)</w:t>
            </w:r>
          </w:p>
        </w:tc>
        <w:tc>
          <w:tcPr/>
          <w:p>
            <w:pPr>
              <w:pStyle w:val="Compact"/>
            </w:pPr>
            <w:r>
              <w:t xml:space="preserve">Clinical; merged source pool only</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t xml:space="preserve">Self-report; merged target only</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b/>
                <w:bCs/>
              </w:rPr>
              <w:t xml:space="preserve">Total</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b/>
          <w:bCs/>
        </w:rPr>
        <w:t xml:space="preserve">Table 2.</w:t>
      </w:r>
      <w:r>
        <w:t xml:space="preserve"> </w:t>
      </w:r>
      <w:r>
        <w:t xml:space="preserve">Primary family (α = 0.10, split CP, confirmatory seed = 1). Verdicts under family-wise Holm correction (H0: true coverage ≥ 0.90).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Direction</w:t>
            </w:r>
          </w:p>
        </w:tc>
        <w:tc>
          <w:tcPr/>
          <w:p>
            <w:pPr>
              <w:pStyle w:val="Compact"/>
            </w:pPr>
            <w:r>
              <w:t xml:space="preserve">Model</w:t>
            </w:r>
          </w:p>
        </w:tc>
        <w:tc>
          <w:tcPr/>
          <w:p>
            <w:pPr>
              <w:pStyle w:val="Compact"/>
            </w:pPr>
            <w:r>
              <w:t xml:space="preserve">K/n</w:t>
            </w:r>
          </w:p>
        </w:tc>
        <w:tc>
          <w:tcPr/>
          <w:p>
            <w:pPr>
              <w:pStyle w:val="Compact"/>
            </w:pPr>
            <w:r>
              <w:t xml:space="preserve">Coverage [95% CI]</w:t>
            </w:r>
          </w:p>
        </w:tc>
        <w:tc>
          <w:tcPr/>
          <w:p>
            <w:pPr>
              <w:pStyle w:val="Compact"/>
            </w:pPr>
            <w:r>
              <w:t xml:space="preserve">Holm q</w:t>
            </w:r>
          </w:p>
        </w:tc>
        <w:tc>
          <w:tcPr/>
          <w:p>
            <w:pPr>
              <w:pStyle w:val="Compact"/>
            </w:pPr>
            <w:r>
              <w:t xml:space="preserve">Verdict</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t xml:space="preserve">Incompatible</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t xml:space="preserve">— (comparator)</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t xml:space="preserve">Incompatible</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t xml:space="preserve">— (comparator)</w:t>
            </w:r>
          </w:p>
        </w:tc>
        <w:tc>
          <w:tcPr/>
          <w:p>
            <w:pPr>
              <w:pStyle w:val="Compact"/>
            </w:pPr>
            <w:r>
              <w:t xml:space="preserve">—</w:t>
            </w:r>
          </w:p>
        </w:tc>
      </w:tr>
      <w:tr>
        <w:tc>
          <w:tcPr/>
          <w:p>
            <w:pPr>
              <w:pStyle w:val="Compact"/>
            </w:pPr>
            <w:r>
              <w:t xml:space="preserve">Clinical→Self-report</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t xml:space="preserve">Incompatible</w:t>
            </w:r>
          </w:p>
        </w:tc>
      </w:tr>
      <w:tr>
        <w:tc>
          <w:tcPr/>
          <w:p>
            <w:pPr>
              <w:pStyle w:val="Compact"/>
            </w:pPr>
            <w:r>
              <w:t xml:space="preserve">Clinical→Self-report</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t xml:space="preserve">— (comparator)</w:t>
            </w:r>
          </w:p>
        </w:tc>
        <w:tc>
          <w:tcPr/>
          <w:p>
            <w:pPr>
              <w:pStyle w:val="Compact"/>
            </w:pPr>
            <w:r>
              <w:t xml:space="preserve">—</w:t>
            </w:r>
          </w:p>
        </w:tc>
      </w:tr>
    </w:tbl>
    <w:p>
      <w:r>
        <w:pict>
          <v:rect style="width:0;height:1.5pt" o:hralign="center" o:hrstd="t" o:hr="t"/>
        </w:pict>
      </w:r>
    </w:p>
    <w:bookmarkEnd w:id="29"/>
    <w:bookmarkStart w:id="45" w:name="X820857df504aaad5bee77782404ac67a25e7b61"/>
    <w:p>
      <w:pPr>
        <w:pStyle w:val="Heading1"/>
      </w:pPr>
      <w:r>
        <w:t xml:space="preserve">Figures (embedded for internal review; final submission places them at first citation)</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 (DEC-T1).</w:t>
      </w:r>
    </w:p>
    <w:p>
      <w:pPr>
        <w:pStyle w:val="CaptionedFigure"/>
      </w:pPr>
      <w:r>
        <w:drawing>
          <wp:inline>
            <wp:extent cx="5334000" cy="2296583"/>
            <wp:effectExtent b="0" l="0" r="0" t="0"/>
            <wp:docPr descr="Fig1" title="" id="31" name="Picture"/>
            <a:graphic>
              <a:graphicData uri="http://schemas.openxmlformats.org/drawingml/2006/picture">
                <pic:pic>
                  <pic:nvPicPr>
                    <pic:cNvPr descr="../figures/fig1_primary_forest.png" id="32" name="Picture"/>
                    <pic:cNvPicPr>
                      <a:picLocks noChangeArrowheads="1" noChangeAspect="1"/>
                    </pic:cNvPicPr>
                  </pic:nvPicPr>
                  <pic:blipFill>
                    <a:blip r:embed="rId30"/>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(measured, unadjusted safety diagnostic — not a guarantee). Left = LR; right = LGBM. Squares = PD; circles = HC; annotations give per-class n.</w:t>
      </w:r>
    </w:p>
    <w:p>
      <w:pPr>
        <w:pStyle w:val="CaptionedFigure"/>
      </w:pPr>
      <w:r>
        <w:drawing>
          <wp:inline>
            <wp:extent cx="5334000" cy="2222500"/>
            <wp:effectExtent b="0" l="0" r="0" t="0"/>
            <wp:docPr descr="Fig2" title="" id="34" name="Picture"/>
            <a:graphic>
              <a:graphicData uri="http://schemas.openxmlformats.org/drawingml/2006/picture">
                <pic:pic>
                  <pic:nvPicPr>
                    <pic:cNvPr descr="../figures/fig2_class_conditional.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 descriptive, no correlation test). Left = LR; right = LGBM. Labels: dataset initials T = Tappy, M = MIT, Y = TyPD, O = Online English; arrow = transfer direction.</w:t>
      </w:r>
    </w:p>
    <w:p>
      <w:pPr>
        <w:pStyle w:val="CaptionedFigure"/>
      </w:pPr>
      <w:r>
        <w:drawing>
          <wp:inline>
            <wp:extent cx="5334000" cy="2518833"/>
            <wp:effectExtent b="0" l="0" r="0" t="0"/>
            <wp:docPr descr="Fig3" title="" id="37" name="Picture"/>
            <a:graphic>
              <a:graphicData uri="http://schemas.openxmlformats.org/drawingml/2006/picture">
                <pic:pic>
                  <pic:nvPicPr>
                    <pic:cNvPr descr="../figures/fig3_decoupling.png" id="38" name="Picture"/>
                    <pic:cNvPicPr>
                      <a:picLocks noChangeArrowheads="1" noChangeAspect="1"/>
                    </pic:cNvPicPr>
                  </pic:nvPicPr>
                  <pic:blipFill>
                    <a:blip r:embed="rId36"/>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coverage without utility. Non-monotonic segments reflect single-draw sampling noise (pre-declared). Audit 0.80 = pre-specified operational audit threshold.</w:t>
      </w:r>
    </w:p>
    <w:p>
      <w:pPr>
        <w:pStyle w:val="CaptionedFigure"/>
      </w:pPr>
      <w:r>
        <w:drawing>
          <wp:inline>
            <wp:extent cx="5334000" cy="2667000"/>
            <wp:effectExtent b="0" l="0" r="0" t="0"/>
            <wp:docPr descr="Fig4" title="" id="40" name="Picture"/>
            <a:graphic>
              <a:graphicData uri="http://schemas.openxmlformats.org/drawingml/2006/picture">
                <pic:pic>
                  <pic:nvPicPr>
                    <pic:cNvPr descr="../figures/fig4_recovery_cost.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Stress-test A dose–response. Left = calibration-only flip (theory-aligned); right = train+calibration flip (deployment). Arms encoded by color and line style.</w:t>
      </w:r>
    </w:p>
    <w:p>
      <w:pPr>
        <w:pStyle w:val="CaptionedFigure"/>
      </w:pPr>
      <w:r>
        <w:drawing>
          <wp:inline>
            <wp:extent cx="5334000" cy="2222500"/>
            <wp:effectExtent b="0" l="0" r="0" t="0"/>
            <wp:docPr descr="Fig5" title="" id="43" name="Picture"/>
            <a:graphic>
              <a:graphicData uri="http://schemas.openxmlformats.org/drawingml/2006/picture">
                <pic:pic>
                  <pic:nvPicPr>
                    <pic:cNvPr descr="../figures/fig5_dose_response.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Fig5</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2026-09-27T05:10:57Z</dcterms:created>
  <dcterms:modified xsi:type="dcterms:W3CDTF">2026-09-27T05:10:57Z</dcterms:modified>
</cp:coreProperties>
</file>

<file path=docProps/custom.xml><?xml version="1.0" encoding="utf-8"?>
<Properties xmlns="http://schemas.openxmlformats.org/officeDocument/2006/custom-properties" xmlns:vt="http://schemas.openxmlformats.org/officeDocument/2006/docPropsVTypes"/>
</file>