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c0de58872f3d41524c8abf166b681918ce4f957"/>
    <w:p>
      <w:pPr>
        <w:pStyle w:val="Heading1"/>
      </w:pPr>
      <w:r>
        <w:t xml:space="preserve">Score-Dependent Conformal Coverage Under Cross-Dataset Deployment of Parkinson’s Disease Typing Classifiers: A Pre-Registered Four-Dataset Audit</w:t>
      </w:r>
    </w:p>
    <w:p>
      <w:pPr>
        <w:pStyle w:val="FirstParagraph"/>
      </w:pPr>
      <w:r>
        <w:rPr>
          <w:b/>
          <w:bCs/>
        </w:rPr>
        <w:t xml:space="preserve">Manuscript v0.9</w:t>
      </w:r>
      <w:r>
        <w:t xml:space="preserve"> </w:t>
      </w:r>
      <w:r>
        <w:rPr>
          <w:rFonts w:hint="eastAsia"/>
        </w:rPr>
        <w:t xml:space="preserve">｜</w:t>
      </w:r>
      <w:r>
        <w:t xml:space="preserve"> 2026-09-27 </w:t>
      </w:r>
      <w:r>
        <w:rPr>
          <w:rFonts w:hint="eastAsia"/>
        </w:rPr>
        <w:t xml:space="preserve">｜</w:t>
      </w:r>
      <w:r>
        <w:t xml:space="preserve"> Storyline: decoupling (user-confirmed 2026-09-27) </w:t>
      </w:r>
      <w:r>
        <w:rPr>
          <w:rFonts w:hint="eastAsia"/>
        </w:rPr>
        <w:t xml:space="preserve">｜</w:t>
      </w:r>
      <w:r>
        <w:t xml:space="preserve"> Results source:</w:t>
      </w:r>
      <w:r>
        <w:t xml:space="preserve"> </w:t>
      </w:r>
      <w:r>
        <w:rPr>
          <w:rStyle w:val="VerbatimChar"/>
        </w:rPr>
        <w:t xml:space="preserve">results-frozen-v1</w:t>
      </w:r>
      <w:r>
        <w:t xml:space="preserve"> </w:t>
      </w:r>
      <w:r>
        <w:t xml:space="preserve">(tag ce26f33+18f7c08) — all numbers below are read from the frozen tables; any discrepancy with</w:t>
      </w:r>
      <w:r>
        <w:t xml:space="preserve"> </w:t>
      </w:r>
      <w:r>
        <w:rPr>
          <w:rStyle w:val="VerbatimChar"/>
        </w:rPr>
        <w:t xml:space="preserve">results/</w:t>
      </w:r>
      <w:r>
        <w:t xml:space="preserve"> </w:t>
      </w:r>
      <w:r>
        <w:t xml:space="preserve">is a defect of this manuscript, not of the results.</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w:t>
      </w:r>
      <w:r>
        <w:t xml:space="preserve">Conformal prediction (CP) supplies distribution-free prediction sets whose marginal coverage is guaranteed under exchangeability. In keystroke-based Parkinson’s disease (PD) detection, cross-dataset deployment is known to degrade discrimination, but whether the coverage guarantee survives deployment shift had not been empirically audited.</w:t>
      </w:r>
    </w:p>
    <w:p>
      <w:pPr>
        <w:pStyle w:val="BodyText"/>
      </w:pPr>
      <w:r>
        <w:rPr>
          <w:b/>
          <w:bCs/>
        </w:rPr>
        <w:t xml:space="preserve">Methods.</w:t>
      </w:r>
      <w:r>
        <w:t xml:space="preserve"> </w:t>
      </w:r>
      <w:r>
        <w:t xml:space="preserve">Under a pre-registered protocol (OSF, embargoed), we audited split-conformal coverage (α = 0.10, LAC scores, logistic-regression reference model) when classifiers trained on one public keystroke dataset are deployed on another, across four datasets (MIT-CSXPD, Tappy, TyPD, Online English; frozen cohort 475 subjects). The pre-registered primary family comprised three high-power transfer directions with family-wise Holm correction (H0: true coverage ≥ 0.90). Class-conditional (PD/HC) coverage was a pre-specified safety diagnostic, not a validity claim. Recovery cost (target-domain calibration budget) and attribution (prevalence-resampling and label-flip stress tests against practical-equivalence tolerances of ±5 pp coverage and ±0.3 set size) were pre-registered secondary analyses.</w:t>
      </w:r>
    </w:p>
    <w:p>
      <w:pPr>
        <w:pStyle w:val="BodyText"/>
      </w:pPr>
      <w:r>
        <w:rPr>
          <w:b/>
          <w:bCs/>
        </w:rPr>
        <w:t xml:space="preserve">Results.</w:t>
      </w:r>
      <w:r>
        <w:t xml:space="preserve"> </w:t>
      </w:r>
      <w:r>
        <w:t xml:space="preserve">All three primary directions were Incompatible (family-controlled): Tappy→MIT 0.598 [0.483, 0.704]; MIT→Tappy 0.850 [0.788, 0.899]; clinical-pool→self-report 0.732 [0.684, 0.777] (Holm q ≤ 0.024). Marginal totals concealed extreme class asymmetry: in Tappy→MIT, PD-conditional coverage collapsed to 0.214 [0.103, 0.368] while HC coverage was 1.000. Coverage degradation was score-dependent: a shallower LightGBM comparator maintained 0.925–1.000 class-conditional coverage in every primary direction despite lower discrimination. Recovery required 9–18 target labels in two directions but was not achieved within a 30% budget (25 labels) in Tappy→MIT, where a PD-conditional residual (0.759) persisted; label-free density-ratio weighting</w:t>
      </w:r>
      <w:r>
        <w:t xml:space="preserve"> </w:t>
      </w:r>
      <w:r>
        <w:t xml:space="preserve">“recovered”</w:t>
      </w:r>
      <w:r>
        <w:t xml:space="preserve"> </w:t>
      </w:r>
      <w:r>
        <w:t xml:space="preserve">coverage only by abstaining on 86–100% of subjects. Prevalence re-matching and random label corruption, alone or combined, did not reproduce the observed coverage phenotype within the pre-specified tolerances.</w:t>
      </w:r>
    </w:p>
    <w:p>
      <w:pPr>
        <w:pStyle w:val="BodyText"/>
      </w:pPr>
      <w:r>
        <w:rPr>
          <w:b/>
          <w:bCs/>
        </w:rPr>
        <w:t xml:space="preserve">Conclusions.</w:t>
      </w:r>
      <w:r>
        <w:t xml:space="preserve"> </w:t>
      </w:r>
      <w:r>
        <w:t xml:space="preserve">Discrimination degradation and coverage degradation are distinct reliability dimensions under cross-dataset deployment: classifier rankings that look acceptable on AUC can carry severely miscalibrated uncertainty, and the pattern is score-dependent. Deployment-oriented reporting should include coverage audits and class-conditional diagnostics alongside discrimination metrics. Pre-registered, all code and per-cell results are public.</w:t>
      </w:r>
    </w:p>
    <w:p>
      <w:r>
        <w:pict>
          <v:rect style="width:0;height:1.5pt" o:hralign="center" o:hrstd="t" o:hr="t"/>
        </w:pict>
      </w:r>
    </w:p>
    <w:bookmarkEnd w:id="9"/>
    <w:bookmarkStart w:id="11" w:name="introduction"/>
    <w:p>
      <w:pPr>
        <w:pStyle w:val="Heading2"/>
      </w:pPr>
      <w:r>
        <w:t xml:space="preserve">1. Introduction</w:t>
      </w:r>
    </w:p>
    <w:p>
      <w:pPr>
        <w:pStyle w:val="FirstParagraph"/>
      </w:pPr>
      <w:r>
        <w:t xml:space="preserve">Keystroke dynamics offer a non-invasive, scalable digital biomarker for Parkinson’s disease (PD) screening, and public datasets have supported a decade of classifier development. The field’s evaluation currency is discrimination: AUC under cross-dataset transfer, where degradation is well documented (e.g., Tappy→MIT peak AUC 0.666 in the four-dataset benchmark of Francesconi et al.). Discrimination, however, is only one of two properties a deployed screening system must deliver. The second is uncertainty calibration: when the system outputs a prediction set with a nominal 90% coverage guarantee, does the guarantee hold on the target cohort?</w:t>
      </w:r>
    </w:p>
    <w:p>
      <w:pPr>
        <w:pStyle w:val="BodyText"/>
      </w:pPr>
      <w:r>
        <w:t xml:space="preserve">Conformal prediction (CP) promises exactly this: under exchangeability, split CP covers the true label with probability at least 1−α regardless of the underlying model. Deployment across datasets breaks exchangeability, and the behavior of CP coverage under realistic covariate and label shift has been studied mostly in theory or in non-medical benchmarks. To our knowledge, this is the first systematic empirical audit of conformal prediction coverage across publicly available Parkinson’s keystroke datasets.</w:t>
      </w:r>
    </w:p>
    <w:p>
      <w:pPr>
        <w:pStyle w:val="BodyText"/>
      </w:pPr>
      <w:r>
        <w:rPr>
          <w:b/>
          <w:bCs/>
        </w:rPr>
        <w:t xml:space="preserve">This work characterizes whether discrimination degradation and coverage degradation exhibit non-identical patterns across deployment shifts (pre-registered hypothesis H1).</w:t>
      </w:r>
      <w:r>
        <w:t xml:space="preserve"> </w:t>
      </w:r>
      <w:r>
        <w:t xml:space="preserve">Our central finding is that they do: discrimination and coverage are two distinct reliability dimensions. Three lines of pre-registered evidence support this framing: (i) the primary-family verdicts are uniformly negative for coverage while discrimination remains moderate; (ii) a comparator model with</w:t>
      </w:r>
      <w:r>
        <w:t xml:space="preserve"> </w:t>
      </w:r>
      <w:r>
        <w:rPr>
          <w:i/>
          <w:iCs/>
        </w:rPr>
        <w:t xml:space="preserve">lower</w:t>
      </w:r>
      <w:r>
        <w:t xml:space="preserve"> </w:t>
      </w:r>
      <w:r>
        <w:t xml:space="preserve">discrimination exhibits</w:t>
      </w:r>
      <w:r>
        <w:t xml:space="preserve"> </w:t>
      </w:r>
      <w:r>
        <w:rPr>
          <w:i/>
          <w:iCs/>
        </w:rPr>
        <w:t xml:space="preserve">higher</w:t>
      </w:r>
      <w:r>
        <w:t xml:space="preserve">, near-nominal coverage — coverage failure is score-dependent, not a property of the task shift alone; (iii) controlled label manipulations that reproduce class-conditional collapse in form do not reproduce the observed phenotype in magnitude — prevalence and noise alone are insufficient, pointing to the feature-space shift itself.</w:t>
      </w:r>
    </w:p>
    <w:p>
      <w:pPr>
        <w:pStyle w:val="BodyText"/>
      </w:pPr>
      <w:r>
        <w:t xml:space="preserve">We deliberately report this as a mapping-reliability audit, not as a failure claim: the pre-registered verdict vocabulary (Compatible / Incompatible / Undetermined) asserts statistical compatibility with a pre-specified operational audit threshold, not clinical failure, and primary outcomes were not conditioned on observing degradation.</w:t>
      </w:r>
    </w:p>
    <w:bookmarkStart w:id="10" w:name="contributions"/>
    <w:p>
      <w:pPr>
        <w:pStyle w:val="Heading3"/>
      </w:pPr>
      <w:r>
        <w:t xml:space="preserve">Contributions</w:t>
      </w:r>
    </w:p>
    <w:p>
      <w:pPr>
        <w:pStyle w:val="Compact"/>
        <w:numPr>
          <w:ilvl w:val="0"/>
          <w:numId w:val="1001"/>
        </w:numPr>
      </w:pPr>
      <w:r>
        <w:t xml:space="preserve">The first systematic empirical audit of CP coverage across four public PD keystroke datasets, under a pre-registered, embargoed protocol with a frozen cohort (475 subjects) and family-wise controlled primary endpoints.</w:t>
      </w:r>
    </w:p>
    <w:p>
      <w:pPr>
        <w:pStyle w:val="Compact"/>
        <w:numPr>
          <w:ilvl w:val="0"/>
          <w:numId w:val="1001"/>
        </w:numPr>
      </w:pPr>
      <w:r>
        <w:t xml:space="preserve">A coverage–discrimination decoupling map: per-direction six-tuples (marginal coverage, PD/HC class-conditional coverage, set size, singleton rate, AUC) across all 12 ordered transfer directions, two score functions.</w:t>
      </w:r>
    </w:p>
    <w:p>
      <w:pPr>
        <w:pStyle w:val="Compact"/>
        <w:numPr>
          <w:ilvl w:val="0"/>
          <w:numId w:val="1001"/>
        </w:numPr>
      </w:pPr>
      <w:r>
        <w:t xml:space="preserve">In-the-wild quantification of heterogeneous label sources (clinical diagnosis vs self-report) on coverage, plus controlled-shift stress tests asking whether prevalence re-matching and random label corruption are sufficient to reproduce the observed patterns (no causal identification claimed).</w:t>
      </w:r>
    </w:p>
    <w:p>
      <w:pPr>
        <w:pStyle w:val="Compact"/>
        <w:numPr>
          <w:ilvl w:val="0"/>
          <w:numId w:val="1001"/>
        </w:numPr>
      </w:pPr>
      <w:r>
        <w:t xml:space="preserve">An open audit toolkit: three-tier feature system as audit covariates, coverage-restoration unit tests (including an independent eq-(8) oracle for weighted CP), the pre-registration, and a coverage-to-workflow mapping (singleton = auto-pass, doubleton = manual review, full set = system rejection).</w:t>
      </w:r>
    </w:p>
    <w:p>
      <w:r>
        <w:pict>
          <v:rect style="width:0;height:1.5pt" o:hralign="center" o:hrstd="t" o:hr="t"/>
        </w:pict>
      </w:r>
    </w:p>
    <w:bookmarkEnd w:id="10"/>
    <w:bookmarkEnd w:id="11"/>
    <w:bookmarkStart w:id="17" w:name="methods"/>
    <w:p>
      <w:pPr>
        <w:pStyle w:val="Heading2"/>
      </w:pPr>
      <w:r>
        <w:t xml:space="preserve">2. Methods</w:t>
      </w:r>
    </w:p>
    <w:p>
      <w:pPr>
        <w:pStyle w:val="FirstParagraph"/>
      </w:pPr>
      <w:r>
        <w:t xml:space="preserve">This audit was designed and pre-registered before any cross-dataset coverage number was computed (OSF registration, 2-year embargo; analysis plan v1 frozen at tag</w:t>
      </w:r>
      <w:r>
        <w:t xml:space="preserve"> </w:t>
      </w:r>
      <w:r>
        <w:rPr>
          <w:rStyle w:val="VerbatimChar"/>
        </w:rPr>
        <w:t xml:space="preserve">v1.0-prereg</w:t>
      </w:r>
      <w:r>
        <w:t xml:space="preserve">). Reporting follows TRIPOD-AI. We report the CP four elements (predictor, score, calibration rule, guarantee target) for every procedure.</w:t>
      </w:r>
    </w:p>
    <w:bookmarkStart w:id="12" w:name="data-and-cohorts"/>
    <w:p>
      <w:pPr>
        <w:pStyle w:val="Heading3"/>
      </w:pPr>
      <w:r>
        <w:t xml:space="preserve">2.1 Data and cohorts</w:t>
      </w:r>
    </w:p>
    <w:p>
      <w:pPr>
        <w:pStyle w:val="FirstParagraph"/>
      </w:pPr>
      <w:r>
        <w:t xml:space="preserve">Four public datasets: MIT-CSXPD (clinical gold standard), Tappy Keplar (self-report, BYOD), TyPD (clinical, i-PROGNOSIS), Online English (self-report, web). Cleaning rules were pre-registered and label-blind (seven steps; e.g., session validity ≥ 100 digraphs; person eligibility ≥ 300 valid digraphs). The frozen cohort is 475 subjects (PD 270 / HC 205): MIT 82 (42/40), Tappy 173 (133/40), TyPD 27 (12/15), OE 193 (83/110). PD definition: clinical diagnosis fields (MIT, TyPD) or self-report (Tappy</w:t>
      </w:r>
      <w:r>
        <w:t xml:space="preserve"> </w:t>
      </w:r>
      <w:r>
        <w:rPr>
          <w:rStyle w:val="VerbatimChar"/>
        </w:rPr>
        <w:t xml:space="preserve">Parkinsons</w:t>
      </w:r>
      <w:r>
        <w:t xml:space="preserve">, OE</w:t>
      </w:r>
      <w:r>
        <w:t xml:space="preserve"> </w:t>
      </w:r>
      <w:r>
        <w:rPr>
          <w:rStyle w:val="VerbatimChar"/>
        </w:rPr>
        <w:t xml:space="preserve">diagnosis</w:t>
      </w:r>
      <w:r>
        <w:t xml:space="preserve">). Three Tappy participants reporting tremor without a PD diagnosis were excluded from the primary analysis (dual re-inclusion sensitivity reported).</w:t>
      </w:r>
    </w:p>
    <w:bookmarkEnd w:id="12"/>
    <w:bookmarkStart w:id="13" w:name="features-and-models"/>
    <w:p>
      <w:pPr>
        <w:pStyle w:val="Heading3"/>
      </w:pPr>
      <w:r>
        <w:t xml:space="preserve">2.2 Features and models</w:t>
      </w:r>
    </w:p>
    <w:p>
      <w:pPr>
        <w:pStyle w:val="FirstParagraph"/>
      </w:pPr>
      <w:r>
        <w:t xml:space="preserve">Person-level features aggregate all valid digraphs of a person (one subject = one conformal observation). Three pre-registered tiers — L1: hold/latency/flight distribution summaries (15 features, all datasets); L2: + hand-conditional summaries (MIT/Tappy/OE); L3: + digraph-transition features (MIT/OE) — with the transfer tier fixed at the minimum of the chain’s dataset caps (tier as an explicit audit covariate). Effective primary reference model: L2-regularized logistic regression (CHG-P1 amendment; the pre-registered LightGBM failed a pre-declared in-domain gate across three documented runs and is reported as comparator with shallow-tree settings DEC-T1:</w:t>
      </w:r>
      <w:r>
        <w:t xml:space="preserve"> </w:t>
      </w:r>
      <w:r>
        <w:rPr>
          <w:rStyle w:val="VerbatimChar"/>
        </w:rPr>
        <w:t xml:space="preserve">min_child_samples = ⌊n_train/4⌋</w:t>
      </w:r>
      <w:r>
        <w:t xml:space="preserve">,</w:t>
      </w:r>
      <w:r>
        <w:t xml:space="preserve"> </w:t>
      </w:r>
      <w:r>
        <w:rPr>
          <w:rStyle w:val="VerbatimChar"/>
        </w:rPr>
        <w:t xml:space="preserve">max_depth</w:t>
      </w:r>
      <w:r>
        <w:t xml:space="preserve"> </w:t>
      </w:r>
      <w:r>
        <w:t xml:space="preserve">3). All hyperparameters were fixed before target data were touched; target datasets were never used for model selection.</w:t>
      </w:r>
    </w:p>
    <w:bookmarkEnd w:id="13"/>
    <w:bookmarkStart w:id="14" w:name="conformal-procedures"/>
    <w:p>
      <w:pPr>
        <w:pStyle w:val="Heading3"/>
      </w:pPr>
      <w:r>
        <w:t xml:space="preserve">2.3 Conformal procedures</w:t>
      </w:r>
    </w:p>
    <w:p>
      <w:pPr>
        <w:pStyle w:val="FirstParagraph"/>
      </w:pPr>
      <w:r>
        <w:t xml:space="preserve">Split CP with LAC scores (1 − true-class probability), calibration split 30% of the source cohort (stratified, split seed = 1, the first registered seed; 50-seed summaries are descriptive only), α = 0.10, finite-sample quantile k = ⌈(n+1)(1−α)⌉. Remediation arms, all pre-specified: target-domain recalibration at 0/5/10/20/30% label budgets (draw stratified, single draw, test on the complement); weighted CP under estimated density ratios (domain-classifier odds, pooled p99 truncation, weight-distribution reporting; Tibshirani eq. (8) direct form, verified against an independent oracle; guarantee target: covariate-shift-weighted marginal 1−α); protocol-conditional recalibration (group-weighted operationalization; guarantee target: protocol-group-conditional 1−α). The split-CP implementation matches MAPIE 1.5.0 pointwise (1800/1800) and passes 18 synthetic tests, including a 6-regime oracle for weighted CP whose historical tail-inversion defect is documented.</w:t>
      </w:r>
    </w:p>
    <w:bookmarkEnd w:id="14"/>
    <w:bookmarkStart w:id="15" w:name="outcomes-and-verdicts"/>
    <w:p>
      <w:pPr>
        <w:pStyle w:val="Heading3"/>
      </w:pPr>
      <w:r>
        <w:t xml:space="preserve">2.4 Outcomes and verdicts</w:t>
      </w:r>
    </w:p>
    <w:p>
      <w:pPr>
        <w:pStyle w:val="FirstParagraph"/>
      </w:pPr>
      <w:r>
        <w:t xml:space="preserve">Primary family (pre-registered): three high-power directions × α = 0.10 × marginal coverage — Tappy→MIT, MIT→Tappy, clinical-pool (MIT+TyPD) → self-report (Tappy+OE) — with one-sided binomial tests (H0: true coverage ≥ 0.90) and Holm correction (family-wise 0.10). Verdicts use evidence-based vocabulary against a</w:t>
      </w:r>
      <w:r>
        <w:t xml:space="preserve"> </w:t>
      </w:r>
      <w:r>
        <w:rPr>
          <w:b/>
          <w:bCs/>
        </w:rPr>
        <w:t xml:space="preserve">pre-specified operational audit threshold</w:t>
      </w:r>
      <w:r>
        <w:t xml:space="preserve"> </w:t>
      </w:r>
      <w:r>
        <w:t xml:space="preserve">of 0.80 (Compatible: CI lower bound ≥ 0.80; Incompatible: CI upper bound &lt; 0.90; otherwise Undetermined; Incompatible priority in the overlap region). The 0.80 threshold has no clinical-safety interpretation. PD/HC class-conditional coverage is a</w:t>
      </w:r>
      <w:r>
        <w:t xml:space="preserve"> </w:t>
      </w:r>
      <w:r>
        <w:rPr>
          <w:b/>
          <w:bCs/>
        </w:rPr>
        <w:t xml:space="preserve">pre-specified safety diagnostic</w:t>
      </w:r>
      <w:r>
        <w:t xml:space="preserve"> </w:t>
      </w:r>
      <w:r>
        <w:t xml:space="preserve">reported with exact Clopper-Pearson intervals; under joint covariate and label shift it carries no distribution-free guarantee, which is precisely why we measure it.</w:t>
      </w:r>
    </w:p>
    <w:bookmarkEnd w:id="15"/>
    <w:bookmarkStart w:id="16" w:name="recovery-and-attribution"/>
    <w:p>
      <w:pPr>
        <w:pStyle w:val="Heading3"/>
      </w:pPr>
      <w:r>
        <w:t xml:space="preserve">2.5 Recovery and attribution</w:t>
      </w:r>
    </w:p>
    <w:p>
      <w:pPr>
        <w:pStyle w:val="FirstParagraph"/>
      </w:pPr>
      <w:r>
        <w:t xml:space="preserve">Recovery-cost table (pre-registered, never-cut): rows = {naive CP, target recalibration (5/10/20/30%), weighted CP, protocol-conditional recalibration}; columns = {target labels used, coverage, PD coverage, set size, singleton rate, rejection rate}. Attribution stress tests: (A) synthetic dose–response, donor-class person-level label flips at 10/20/30% in three directions, compared with the theory of Einbinder et al. for dispersive label noise (calibration-side stochastic-dominance condition evaluated exactly); (B) three-arm real-transfer test — prevalence re-matching to 74% (resampling), prevalence-preserving two-way flips, and their combination — against pre-specified practical-equivalence tolerances (±5 pp coverage, ±0.3 mean set size); (C) black-box shift estimation (BBSE) validated on constructed label shift and applied descriptively to real pairs. Conclusion wording follows the frozen template: these tests ask whether the manipulations are</w:t>
      </w:r>
      <w:r>
        <w:t xml:space="preserve"> </w:t>
      </w:r>
      <w:r>
        <w:rPr>
          <w:i/>
          <w:iCs/>
        </w:rPr>
        <w:t xml:space="preserve">sufficient to reproduce</w:t>
      </w:r>
      <w:r>
        <w:t xml:space="preserve"> </w:t>
      </w:r>
      <w:r>
        <w:t xml:space="preserve">the observed patterns; no causal identification is claimed.</w:t>
      </w:r>
    </w:p>
    <w:p>
      <w:r>
        <w:pict>
          <v:rect style="width:0;height:1.5pt" o:hralign="center" o:hrstd="t" o:hr="t"/>
        </w:pict>
      </w:r>
    </w:p>
    <w:bookmarkEnd w:id="16"/>
    <w:bookmarkEnd w:id="17"/>
    <w:bookmarkStart w:id="24" w:name="results"/>
    <w:p>
      <w:pPr>
        <w:pStyle w:val="Heading2"/>
      </w:pPr>
      <w:r>
        <w:t xml:space="preserve">3. Results</w:t>
      </w:r>
    </w:p>
    <w:bookmarkStart w:id="18" w:name="X62708183f17ee88db9fd6d3db5d56e62d98e1a8"/>
    <w:p>
      <w:pPr>
        <w:pStyle w:val="Heading3"/>
      </w:pPr>
      <w:r>
        <w:t xml:space="preserve">3.1 Primary family: all three directions Incompatible (Table 2, Fig 1)</w:t>
      </w:r>
    </w:p>
    <w:p>
      <w:pPr>
        <w:pStyle w:val="FirstParagraph"/>
      </w:pPr>
      <w:r>
        <w:t xml:space="preserve">Every primary direction’s coverage fell statistically short of the nominal level under family-wise control: Tappy→MIT 0.598 [0.483, 0.704] (Holm q = 1.2×10⁻¹²), MIT→Tappy 0.850 [0.788, 0.899] (q = 0.023), clinical-pool→self-report 0.732 [0.684, 0.777] (q = 2.5×10⁻¹⁹). Prediction sets were short — mean sizes 1.11–1.53 with singleton rates 0.47–0.89 (LR) — so the deficits reflect confident miscoverage, not uninformative outputs. The LightGBM comparator covered 0.963–0.988 in the same directions with near-full set sizes (mean 1.92–1.97; singleton rates 0.03–0.08) — coverage bought conservatively.</w:t>
      </w:r>
    </w:p>
    <w:bookmarkEnd w:id="18"/>
    <w:bookmarkStart w:id="19" w:name="X19c07431da349ca061151034b361c815993bde8"/>
    <w:p>
      <w:pPr>
        <w:pStyle w:val="Heading3"/>
      </w:pPr>
      <w:r>
        <w:t xml:space="preserve">3.2 Safety diagnostic: marginal coverage concealed class-conditional collapse (Table 3, Fig 2)</w:t>
      </w:r>
    </w:p>
    <w:p>
      <w:pPr>
        <w:pStyle w:val="FirstParagraph"/>
      </w:pPr>
      <w:r>
        <w:t xml:space="preserve">In Tappy→MIT, PD-conditional coverage was 0.214 [0.103, 0.368] (n = 42) while HC coverage was 1.000 (n = 40): 33 of 42 PD patients (78.6%) received sets that excluded their true label — predominantly confident singletons exonerating them. The under-served class flipped with target prevalence — HC-conditional coverage was the deficient one in the two PD-heavy targets (0.700 in MIT→Tappy; 0.627 in clinical→self-report). The comparator score was near-uniform across classes (0.925–1.000). These are measured diagnostics on a frozen cohort, not guarantees (consistent with the identifiability analysis of class-conditional coverage under joint shift, arXiv:2607.18088).</w:t>
      </w:r>
    </w:p>
    <w:bookmarkEnd w:id="19"/>
    <w:bookmarkStart w:id="20" w:name="X91aee07da4f691d3376ec21aa36c040aa877711"/>
    <w:p>
      <w:pPr>
        <w:pStyle w:val="Heading3"/>
      </w:pPr>
      <w:r>
        <w:t xml:space="preserve">3.3 Decoupling: discrimination and coverage degrade on different axes (Fig 3)</w:t>
      </w:r>
    </w:p>
    <w:p>
      <w:pPr>
        <w:pStyle w:val="FirstParagraph"/>
      </w:pPr>
      <w:r>
        <w:t xml:space="preserve">Across all 12 transfer directions, discrimination and coverage moved asynchronously in both score functions. Most strikingly, in the three primary directions the comparator’s coverage never fell below 0.925 for any class (class-conditional 0.925–1.000; marginal 0.963–0.988), and across all 12 directions its mean coverage exceeded the reference’s in 11/12 despite lower AUC in all 12: shallow trees produce conservative scores whose coverage survives shifts that break the linear score. Within the reference model, directions with comparable discrimination showed coverage from 0.58 to 0.91. Per the pre-registered H1 analysis plan this is a descriptive cross-direction characterization (no significance testing across 12 non-independent directions); the pattern is the paper’s central object.</w:t>
      </w:r>
    </w:p>
    <w:bookmarkEnd w:id="20"/>
    <w:bookmarkStart w:id="21" w:name="X61aa299ed4e32e7f3bfba0e3b6513543e4be554"/>
    <w:p>
      <w:pPr>
        <w:pStyle w:val="Heading3"/>
      </w:pPr>
      <w:r>
        <w:t xml:space="preserve">3.4 Recovery: cheap where the score survives, expensive where it collapses (Table 4, Fig 4)</w:t>
      </w:r>
    </w:p>
    <w:p>
      <w:pPr>
        <w:pStyle w:val="FirstParagraph"/>
      </w:pPr>
      <w:r>
        <w:t xml:space="preserve">Target recalibration with 9 labels restored the audit threshold with CI support in MIT→Tappy (0.982 [0.947, ·]); 18 labels sufficed for clinical→self-report (0.876 [0.837, ·]). Tappy→MIT was different: point estimates crossed 0.80 at 16 labels, but the CI lower bound never reached 0.80 within a 30% budget (25 labels; 0.877 [0.763, ·]), and the PD-conditional residual persisted (0.759 vs HC 1.000) — pooled recalibration repairs the marginal quantile, not class-conditional miscalibration. Label-free density-ratio weighting attained nominal coverage (0.918–1.000) only by abstaining on 86–100% of subjects (full-set outputs): coverage without utility. Small-calibration degeneration was mapped exactly: fewer than 9 target labels yield full-set calibration sets at α = 0.10.</w:t>
      </w:r>
    </w:p>
    <w:bookmarkEnd w:id="21"/>
    <w:bookmarkStart w:id="22" w:name="X4a6a83ad8fa83ea62dd3f4dce60d8cf0625b3b9"/>
    <w:p>
      <w:pPr>
        <w:pStyle w:val="Heading3"/>
      </w:pPr>
      <w:r>
        <w:t xml:space="preserve">3.5 Attribution: the observed phenotype is not manufactured by prevalence or noise alone (Table 5, Fig 5)</w:t>
      </w:r>
    </w:p>
    <w:p>
      <w:pPr>
        <w:pStyle w:val="FirstParagraph"/>
      </w:pPr>
      <w:r>
        <w:t xml:space="preserve">Synthetic dose–response on the clinical source reproduced the</w:t>
      </w:r>
      <w:r>
        <w:t xml:space="preserve"> </w:t>
      </w:r>
      <w:r>
        <w:rPr>
          <w:i/>
          <w:iCs/>
        </w:rPr>
        <w:t xml:space="preserve">form</w:t>
      </w:r>
      <w:r>
        <w:t xml:space="preserve"> </w:t>
      </w:r>
      <w:r>
        <w:t xml:space="preserve">of class-conditional collapse (directional flips pinned one class at 1.000 while the other fell monotonically to 0.425), and the dispersive-noise dominance mechanism of Einbinder et al. held at the process level in 9/9 theory-aligned cells. But in the three-arm test, none of prevalence re-matching to 74%, prevalence-preserving corruption, or their combination reproduced the observed MIT→Tappy phenotype within the pre-specified tolerances — every arm missed both tolerances, two by overshooting into extreme asymmetry (HC coverage 0.025 and 0.000) that the real data do not show. BBSE, validated as unbiased with nominal-interval coverage on constructed label shift, degenerated on exactly the worst direction (Tappy→MIT, estimated prevalence 0.000), consistent with that direction’s score-level collapse. Together: the deployed coverage phenotype was not reproduced by prevalence re-matching or label corruption alone; the feature-space shift itself remains the uneliminated factor (no causal identification claimed), and is therefore not a target that prevalence correction or label cleaning could address on their own.</w:t>
      </w:r>
    </w:p>
    <w:bookmarkEnd w:id="22"/>
    <w:bookmarkStart w:id="23" w:name="robustness-and-subgroups"/>
    <w:p>
      <w:pPr>
        <w:pStyle w:val="Heading3"/>
      </w:pPr>
      <w:r>
        <w:t xml:space="preserve">3.6 Robustness and subgroups</w:t>
      </w:r>
    </w:p>
    <w:p>
      <w:pPr>
        <w:pStyle w:val="FirstParagraph"/>
      </w:pPr>
      <w:r>
        <w:t xml:space="preserve">No pre-registered sensitivity analysis flipped any primary verdict: α = 0.20 (0.522–0.705), 50-split summaries (0.669 ± 0.138 to 0.853 ± 0.058), dual re-inclusion of the three tremor-only participants (largest shift +0.073), quarter-level session re-aggregation (identical to the digit), and feature-tier as covariate (no monotone gradient). Sex-stratified coverage (computable only for Tappy-origin targets) showed a 9 pp male deficit in MIT→Tappy; MIT and OE publish no demographic fields, and this is reported as a limitation rather than imputed.</w:t>
      </w:r>
    </w:p>
    <w:p>
      <w:r>
        <w:pict>
          <v:rect style="width:0;height:1.5pt" o:hralign="center" o:hrstd="t" o:hr="t"/>
        </w:pict>
      </w:r>
    </w:p>
    <w:bookmarkEnd w:id="23"/>
    <w:bookmarkEnd w:id="24"/>
    <w:bookmarkStart w:id="25" w:name="discussion"/>
    <w:p>
      <w:pPr>
        <w:pStyle w:val="Heading2"/>
      </w:pPr>
      <w:r>
        <w:t xml:space="preserve">4. Discussion</w:t>
      </w:r>
    </w:p>
    <w:p>
      <w:pPr>
        <w:pStyle w:val="FirstParagraph"/>
      </w:pPr>
      <w:r>
        <w:rPr>
          <w:b/>
          <w:bCs/>
        </w:rPr>
        <w:t xml:space="preserve">Principal finding.</w:t>
      </w:r>
      <w:r>
        <w:t xml:space="preserve"> </w:t>
      </w:r>
      <w:r>
        <w:t xml:space="preserve">Under cross-dataset deployment of PD typing classifiers, the conformal coverage guarantee behaves as an independent reliability dimension: it fails family-wisely where discrimination looks acceptable, survives where discrimination looks poor, conceals class-conditional collapse behind acceptable marginal totals, recovers at wildly different label costs, and cannot be reproduced from prevalence shift and label noise alone. A deployed screening system that reports only AUC has characterized half of its own reliability.</w:t>
      </w:r>
    </w:p>
    <w:p>
      <w:pPr>
        <w:pStyle w:val="BodyText"/>
      </w:pPr>
      <w:r>
        <w:rPr>
          <w:b/>
          <w:bCs/>
        </w:rPr>
        <w:t xml:space="preserve">For practice.</w:t>
      </w:r>
      <w:r>
        <w:t xml:space="preserve"> </w:t>
      </w:r>
      <w:r>
        <w:t xml:space="preserve">The audit yields concrete deployment guidance: (i) coverage claims must be audited per deployment target — in-domain guarantees do not transfer; (ii) the repair budget is small where the score survives (9–18 labels) and unbounded within practical budgets where it collapses, so score selection should include coverage behavior, not only discrimination (score-dependence is the title’s point); (iii) marginal totals are insufficient for safety-relevant classes — class-conditional diagnostics are mandatory reporting; (iv) singleton-auto-pass workflows inherit the singleton error rate, which reached 89% of subjects in the worst direction.</w:t>
      </w:r>
    </w:p>
    <w:p>
      <w:pPr>
        <w:pStyle w:val="BodyText"/>
      </w:pPr>
      <w:r>
        <w:rPr>
          <w:b/>
          <w:bCs/>
        </w:rPr>
        <w:t xml:space="preserve">Relation to prior work.</w:t>
      </w:r>
      <w:r>
        <w:t xml:space="preserve"> </w:t>
      </w:r>
      <w:r>
        <w:t xml:space="preserve">Hospital-scale CP coverage audits exist for chest radiographs, eICU mortality, visual domain transfer, EEG, supply-chain and EHR settings; PD digital phenotyping has used CP for medication-need intervals and selective refusal in multimodal assessment — in-domain. To our knowledge, no prior audit measures cross-dataset coverage on public PD keystroke data, and the discrimination-only cross-dataset benchmark for these datasets left uncertainty unexamined. Our results do not contradict CP theory: they measure what the theory predicts at the boundary of its assumptions, on data a deployment would actually meet.</w:t>
      </w:r>
    </w:p>
    <w:p>
      <w:pPr>
        <w:pStyle w:val="BodyText"/>
      </w:pPr>
      <w:r>
        <w:rPr>
          <w:b/>
          <w:bCs/>
        </w:rPr>
        <w:t xml:space="preserve">Limitations.</w:t>
      </w:r>
      <w:r>
        <w:t xml:space="preserve"> </w:t>
      </w:r>
      <w:r>
        <w:t xml:space="preserve">(1) Self-report labels qualify the estimand on self-report targets; random flips are not structured mislabeling, and reproduction claims are limited to</w:t>
      </w:r>
      <w:r>
        <w:t xml:space="preserve"> </w:t>
      </w:r>
      <w:r>
        <w:t xml:space="preserve">“sufficient to reproduce”</w:t>
      </w:r>
      <w:r>
        <w:t xml:space="preserve">. (2) The effective reference model is logistic regression following a pre-registered gate failure of the original LightGBM choice (three runs documented); the amendment was frozen before cross-dataset coverage was computed and the comparator is reported throughout. (3) Score-dependence is established descriptively across two score functions and 12 non-independent directions; it motivates, but does not constitute, a general theory. (4) MIT and OE publish no sex/age fields, limiting subgroup audits; MIT’s control group is female-biased (~17 pp) by the literature. (5) Class-conditional coverage under joint shift is measured, not guaranteed. (6) OE retains 0.27% duplicate rows by pre-registered decision; merged-source exchangeability is a label-quality statement only. (7) Weighted CP has no third-party library cross-check (none exists); correctness rests on an independent oracle, and its practical failure here (abstention) is reported as an outcome, not a defect of the implementation.</w:t>
      </w:r>
    </w:p>
    <w:p>
      <w:r>
        <w:pict>
          <v:rect style="width:0;height:1.5pt" o:hralign="center" o:hrstd="t" o:hr="t"/>
        </w:pict>
      </w:r>
    </w:p>
    <w:bookmarkEnd w:id="25"/>
    <w:bookmarkStart w:id="26" w:name="data-and-code-availability"/>
    <w:p>
      <w:pPr>
        <w:pStyle w:val="Heading2"/>
      </w:pPr>
      <w:r>
        <w:t xml:space="preserve">Data and code availability</w:t>
      </w:r>
    </w:p>
    <w:p>
      <w:pPr>
        <w:pStyle w:val="FirstParagraph"/>
      </w:pPr>
      <w:r>
        <w:t xml:space="preserve">All code, the frozen result tables (</w:t>
      </w:r>
      <w:r>
        <w:rPr>
          <w:rStyle w:val="VerbatimChar"/>
        </w:rPr>
        <w:t xml:space="preserve">results-frozen-v1</w:t>
      </w:r>
      <w:r>
        <w:t xml:space="preserve">), per-cell outputs, pre-registered protocol, and unit-test suite are public in the project repository. Cohort tables and per-subject hits are released with dataset licenses.</w:t>
      </w:r>
    </w:p>
    <w:bookmarkEnd w:id="26"/>
    <w:bookmarkStart w:id="27" w:name="registration-and-protocol"/>
    <w:p>
      <w:pPr>
        <w:pStyle w:val="Heading2"/>
      </w:pPr>
      <w:r>
        <w:t xml:space="preserve">Registration and protocol</w:t>
      </w:r>
    </w:p>
    <w:p>
      <w:pPr>
        <w:pStyle w:val="FirstParagraph"/>
      </w:pPr>
      <w:r>
        <w:t xml:space="preserve">Analysis plan v1 (with all change records: CHG-1, CHG-P1, DEF-1, DEC-T1, FEATURE-DEF-1/2, POL-1, W4 pre-declaration) was frozen before cross-dataset coverage was computed and registered on OSF under a 2-year embargo; the freeze record, 50,000-repetition power simulations for the primary family, and the full exploratory direction list are in the registration bundle. Results were conditioned on no particular outcome direction (pre-registered unconditional-results statement).</w:t>
      </w:r>
    </w:p>
    <w:bookmarkEnd w:id="27"/>
    <w:bookmarkStart w:id="28" w:name="acknowledgements-of-constraints"/>
    <w:p>
      <w:pPr>
        <w:pStyle w:val="Heading2"/>
      </w:pPr>
      <w:r>
        <w:t xml:space="preserve">Acknowledgements of constraints</w:t>
      </w:r>
    </w:p>
    <w:p>
      <w:pPr>
        <w:pStyle w:val="FirstParagraph"/>
      </w:pPr>
      <w:r>
        <w:t xml:space="preserve">The 0.80 audit threshold is a pre-specified operational value without clinical-safety interpretation.</w:t>
      </w:r>
      <w:r>
        <w:t xml:space="preserve"> </w:t>
      </w:r>
      <w:r>
        <w:t xml:space="preserve">“Incompatible”</w:t>
      </w:r>
      <w:r>
        <w:t xml:space="preserve"> </w:t>
      </w:r>
      <w:r>
        <w:t xml:space="preserve">denotes statistical incompatibility of observed coverage with the audit threshold, not a claim about clinical failure of any device or model.</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2026-09-27T02:20:15Z</dcterms:created>
  <dcterms:modified xsi:type="dcterms:W3CDTF">2026-09-27T02:20:15Z</dcterms:modified>
</cp:coreProperties>
</file>

<file path=docProps/custom.xml><?xml version="1.0" encoding="utf-8"?>
<Properties xmlns="http://schemas.openxmlformats.org/officeDocument/2006/custom-properties" xmlns:vt="http://schemas.openxmlformats.org/officeDocument/2006/docPropsVTypes"/>
</file>