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e312ab6dae849adc8004bca2c23860642c0aa5d"/>
    <w:p>
      <w:pPr>
        <w:pStyle w:val="Heading1"/>
      </w:pPr>
      <w:r>
        <w:t xml:space="preserve">Cross-Dataset Conformal Coverage Audit of Parkinson’s Disease Typing Classifiers Under Deployment Shift</w:t>
      </w:r>
    </w:p>
    <w:p>
      <w:pPr>
        <w:pStyle w:val="FirstParagraph"/>
      </w:pPr>
      <w:r>
        <w:rPr>
          <w:b/>
          <w:bCs/>
        </w:rPr>
        <w:t xml:space="preserve">Authors:</w:t>
      </w:r>
      <w:r>
        <w:t xml:space="preserve"> </w:t>
      </w:r>
      <w:r>
        <w:t xml:space="preserve">Taylor [Given name, Family name]¹</w:t>
      </w:r>
    </w:p>
    <w:p>
      <w:pPr>
        <w:pStyle w:val="BodyText"/>
      </w:pPr>
      <w:r>
        <w:t xml:space="preserve">¹ [Department, Institution, City, Country]</w:t>
      </w:r>
    </w:p>
    <w:p>
      <w:pPr>
        <w:pStyle w:val="BodyText"/>
      </w:pPr>
      <w:r>
        <w:rPr>
          <w:b/>
          <w:bCs/>
        </w:rPr>
        <w:t xml:space="preserve">Corresponding author:</w:t>
      </w:r>
      <w:r>
        <w:t xml:space="preserve"> </w:t>
      </w:r>
      <w:r>
        <w:t xml:space="preserve">[Given name, Family name]; e-mail: [to be completed]</w:t>
      </w:r>
    </w:p>
    <w:p>
      <w:pPr>
        <w:pStyle w:val="BodyText"/>
      </w:pPr>
      <w:r>
        <w:rPr>
          <w:b/>
          <w:bCs/>
        </w:rPr>
        <w:t xml:space="preserve">ORCID:</w:t>
      </w:r>
      <w:r>
        <w:t xml:space="preserve"> </w:t>
      </w:r>
      <w:r>
        <w:t xml:space="preserve">[16-digit iD to be completed]</w:t>
      </w:r>
    </w:p>
    <w:p>
      <w:r>
        <w:br w:type="page"/>
      </w:r>
    </w:p>
    <w:bookmarkStart w:id="9" w:name="abstract"/>
    <w:p>
      <w:pPr>
        <w:pStyle w:val="Heading2"/>
      </w:pPr>
      <w:r>
        <w:t xml:space="preserve">Abstract</w:t>
      </w:r>
    </w:p>
    <w:p>
      <w:pPr>
        <w:pStyle w:val="FirstParagraph"/>
      </w:pPr>
      <w:r>
        <w:t xml:space="preserve">Conformal prediction (CP) provides distribution-free prediction sets with guaranteed marginal coverage under exchangeability. In keystroke-based Parkinson’s disease (PD) detection, cross-dataset deployment degrades discrimination, but whether empirical coverage retains its nominal target under deployment had not been audited. Under a pre-registered protocol, we audited split-CP coverage (α = 0.10; logistic-regression reference model) under cross-dataset deployment across four public keystroke datasets (frozen cohort: 475 subjects). The primary family covered three high-power transfer directions with Holm correction; coverage conditional on PD versus healthy-control (HC) class was a pre-specified safety diagnostic; recovery (target-domain calibration budgets) and attribution (prevalence-resampling and label-flip stress tests) were pre-registered secondary analyses. All three primary directions were Incompatible — pre-registered statistical incompatibility with the nominal 0.90 level, not a clinical determination (family-controlled): Tappy→MIT 0.598 [95% confidence interval (CI) 0.483–0.704], MIT→Tappy 0.850 [0.788–0.899], clinical-pool→self-report 0.732 [0.684–0.777]. Marginal totals concealed class asymmetry (PD-conditional coverage 0.214 in Tappy→MIT; HC 1.000). Coverage behavior differed between the two evaluated predictive models: the LightGBM comparator, despite lower discrimination, showed class-conditional coverage of 0.925–1.000 across the three primary directions. In these cohorts, the 0.80 audit threshold was reached with 9 and 18 target labels but not in Tappy→MIT within a 30% budget (CI criterion); label-free weighting attained nominal coverage only by abstaining on 86–100% of subjects. Prevalence re-matching and label corruption did not reproduce the observed phenotype. Discrimination and coverage behave as distinct reliability dimensions under deployment shift; deployment reporting should include coverage audits and class-conditional diagnostics alongside the area under the receiver operating characteristic curve (AUC).</w:t>
      </w:r>
    </w:p>
    <w:p>
      <w:pPr>
        <w:pStyle w:val="BodyText"/>
      </w:pPr>
      <w:r>
        <w:rPr>
          <w:b/>
          <w:bCs/>
        </w:rPr>
        <w:t xml:space="preserve">Keywords:</w:t>
      </w:r>
      <w:r>
        <w:t xml:space="preserve"> </w:t>
      </w:r>
      <w:r>
        <w:t xml:space="preserve">conformal prediction · Parkinson’s disease · keystroke dynamics · coverage audit · cross-dataset deployment · clinical decision support</w:t>
      </w:r>
    </w:p>
    <w:bookmarkEnd w:id="9"/>
    <w:bookmarkStart w:id="10" w:name="introduction"/>
    <w:p>
      <w:pPr>
        <w:pStyle w:val="Heading2"/>
      </w:pPr>
      <w:r>
        <w:t xml:space="preserve">Introduction</w:t>
      </w:r>
    </w:p>
    <w:p>
      <w:pPr>
        <w:pStyle w:val="FirstParagraph"/>
      </w:pPr>
      <w:r>
        <w:t xml:space="preserve">Keystroke dynamics have been proposed as a scalable digital-biomarker candidate for Parkinson’s disease (PD) screening, and public datasets have supported a decade of classifier development [1–3] evaluated almost exclusively by discrimination — typically the area under the receiver operating characteristic curve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worst of all when it outputs a single confident label that is wrong, which is precisely the case a triage workflow cannot afford. Conformal prediction (CP) promises such calibration: under exchangeability, split CP covers the true label with probability at least 1−α regardless of the underlying model [5,6]. Deployment across datasets breaks exchangeability, and the behavior of CP coverage under realistic clinical data shift has been studied mostly in theory or outside medicine [7–10]. To our knowledge, no prior study has systematically audited conformal prediction coverage across publicly available Parkinson’s keystroke datasets under cross-dataset deployment.</w:t>
      </w:r>
    </w:p>
    <w:p>
      <w:pPr>
        <w:pStyle w:val="BodyText"/>
      </w:pPr>
      <w:r>
        <w:t xml:space="preserve">This audit characterizes whether discrimination degradation and coverage degradation exhibit non-identical patterns across deployment shifts (pre-registered hypothesis H1). We addressed three questions: (RQ1) Does marginal conformal coverage remain statistically compatible with the nominal 0.90 level under cross-dataset deployment? (RQ2) Are coverage degradation and discrimination degradation coupled across transfer directions and predictive models? (RQ3) Can target recalibration, or controlled prevalence and label-shift interventions, restore or explain the observed coverage phenotype? The audit evaluates research-grade classifiers on public datasets; it establishes no clinical screening validity, and the models studied are not validated screening devices. We report the work as a deployment-reliability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 xml:space="preserve">The study contributes: (i) a pre-registered, embargoed systematic audit of CP coverage across four public PD keystroke datasets, with a frozen cohort — the confirmatory family comprised three pre-specified primary transfer directions, and all 12 ordered transfer directions were characterized descriptively; (ii) a coverage–discrimination decoupling map across all 12 ordered transfer directions and two predictive models;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an illustrative coverage-to-workflow mapping: singleton = auto-pass, doubleton = manual review, full set = system rejection).</w:t>
      </w:r>
    </w:p>
    <w:bookmarkEnd w:id="10"/>
    <w:bookmarkStart w:id="19" w:name="methods"/>
    <w:p>
      <w:pPr>
        <w:pStyle w:val="Heading2"/>
      </w:pPr>
      <w:r>
        <w:t xml:space="preserve">Methods</w:t>
      </w:r>
    </w:p>
    <w:bookmarkStart w:id="11" w:name="study-design-and-ethical-approval"/>
    <w:p>
      <w:pPr>
        <w:pStyle w:val="Heading3"/>
      </w:pPr>
      <w:r>
        <w:t xml:space="preserve">Study Design and Ethical Approval</w:t>
      </w:r>
    </w:p>
    <w:p>
      <w:pPr>
        <w:pStyle w:val="FirstParagraph"/>
      </w:pPr>
      <w:r>
        <w:t xml:space="preserve">This audit is a retrospective, pre-registered analysis of exclusively de-identified public datasets released for research use; no new human data were collected and no intervention occurred. The analysis plan was pre-registered on the Open Science Framework (registration https://osf.io/j9fvx, 26 September 2026; frozen plan v1, tag</w:t>
      </w:r>
      <w:r>
        <w:t xml:space="preserve"> </w:t>
      </w:r>
      <w:r>
        <w:rPr>
          <w:rStyle w:val="VerbatimChar"/>
        </w:rPr>
        <w:t xml:space="preserve">v1.0-prereg</w:t>
      </w:r>
      <w:r>
        <w:t xml:space="preserve">) before any cross-dataset coverage was computed, under a 2-year embargo; reviewers can be granted view-only access during peer review.</w:t>
      </w:r>
    </w:p>
    <w:bookmarkEnd w:id="11"/>
    <w:bookmarkStart w:id="12" w:name="data-sources-and-cohorts"/>
    <w:p>
      <w:pPr>
        <w:pStyle w:val="Heading3"/>
      </w:pPr>
      <w:r>
        <w:t xml:space="preserve">Data Sources and Cohorts</w:t>
      </w:r>
    </w:p>
    <w:p>
      <w:pPr>
        <w:pStyle w:val="FirstParagraph"/>
      </w:pPr>
      <w:r>
        <w:t xml:space="preserve">Four public datasets were used: MIT-CSXPD (clinical gold standard), Tappy Keplar (self-report, bring-your-own-device), TyPD (clinical, i-PROGNOSIS), and Online English (OE; self-report, web-based). Cleaning rules were pre-registered and label-blind (seven steps; session validity ≥ 100 digraphs; person eligibility ≥ 300 valid digraphs). The frozen cohort comprised 475 subjects (PD 270 / healthy-control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bookmarkEnd w:id="12"/>
    <w:bookmarkStart w:id="13" w:name="features-and-models"/>
    <w:p>
      <w:pPr>
        <w:pStyle w:val="Heading3"/>
      </w:pPr>
      <w:r>
        <w:t xml:space="preserve">Features and Models</w:t>
      </w:r>
    </w:p>
    <w:p>
      <w:pPr>
        <w:pStyle w:val="FirstParagraph"/>
      </w:pPr>
      <w:r>
        <w:t xml:space="preserve">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ℓ2-regularized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3"/>
    <w:bookmarkStart w:id="14" w:name="conformal-procedures"/>
    <w:p>
      <w:pPr>
        <w:pStyle w:val="Heading3"/>
      </w:pPr>
      <w:r>
        <w:t xml:space="preserve">Conformal Procedures</w:t>
      </w:r>
    </w:p>
    <w:p>
      <w:pPr>
        <w:pStyle w:val="FirstParagraph"/>
      </w:pPr>
      <w:r>
        <w:t xml:space="preserve">Split CP used the least-ambiguous classification (LAC) score, s(x,y) = 1 − p̂(y|x), with a single pooled calibration quantile targeting marginal 1−α coverage, computed on a stratified 30% source calibration split (single confirmatory seed = 1, the first registered seed; 50-seed summaries are descriptive). The conformal threshold was the k-th smallest calibration score, where k = ⌈(n_cal + 1)(1−α)⌉ and n_cal is the calibration-split size; a candidate label was included when its LAC score did not exceed this threshold. When k &gt; n_cal, the resulting prediction set was the full label set. Class-conditional coverage was evaluated only as a diagnostic and was not used in calibration.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99th-percentile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the MAPIE 1.5.0 reference implementation [15] pointwise (1800/1800) and passes 18 synthetic tests.</w:t>
      </w:r>
    </w:p>
    <w:bookmarkEnd w:id="14"/>
    <w:bookmarkStart w:id="15" w:name="outcomes-and-audit-verdicts"/>
    <w:p>
      <w:pPr>
        <w:pStyle w:val="Heading3"/>
      </w:pPr>
      <w:r>
        <w:t xml:space="preserve">Outcomes and Audit Verdicts</w:t>
      </w:r>
    </w:p>
    <w:p>
      <w:pPr>
        <w:pStyle w:val="FirstParagraph"/>
      </w:pPr>
      <w:r>
        <w:t xml:space="preserve">All inferential analyses were performed at the person level: sessions and digraphs were aggregated within participant before conformal evaluation, so no participant contributed more than one target-level coverage observation. The pre-registered primary family was three high-power directions × α = 0.10 × marginal coverage — Tappy→MIT, MIT→Tappy, and clinical-pool (MIT+TyPD) → self-report (Tappy+OE) — with one-sided binomial tests (H0: true coverage ≥ 0.90) and Holm correction at family-wise 0.10 (confirmatory inference). The descriptive audit matrix covers all 12 ordered dataset pairs; TyPD and OE enter the confirmatory family only through the pooled clinical-source and self-report-target direction, respectively. Operationally, each direction also receives an audit label from the unadjusted 95% Clopper–Pearson interval (CI)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w:t>
      </w:r>
      <w:r>
        <w:t xml:space="preserve"> </w:t>
      </w:r>
      <w:r>
        <w:t xml:space="preserve">“Holm-adjusted CI”</w:t>
      </w:r>
      <w:r>
        <w:t xml:space="preserve"> </w:t>
      </w:r>
      <w:r>
        <w:t xml:space="preserve">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 All analyses were performed in Python 3.12.10 using pandas 3.0.6, NumPy 2.5.3, SciPy 1.18.1, scikit-learn 1.9.1, LightGBM 4.7.0, and MAPIE 1.5.0 (versions pinned in the repository’s requirements.txt).</w:t>
      </w:r>
    </w:p>
    <w:bookmarkEnd w:id="15"/>
    <w:bookmarkStart w:id="16" w:name="recovery-and-attribution-analyses"/>
    <w:p>
      <w:pPr>
        <w:pStyle w:val="Heading3"/>
      </w:pPr>
      <w:r>
        <w:t xml:space="preserve">Recovery and Attribution Analyses</w:t>
      </w:r>
    </w:p>
    <w:p>
      <w:pPr>
        <w:pStyle w:val="FirstParagraph"/>
      </w:pPr>
      <w:r>
        <w:t xml:space="preserve">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6"/>
    <w:bookmarkStart w:id="17" w:name="use-of-ai-assisted-tools"/>
    <w:bookmarkEnd w:id="17"/>
    <w:bookmarkStart w:id="18" w:name="reporting-standards"/>
    <w:p>
      <w:pPr>
        <w:pStyle w:val="Heading3"/>
      </w:pPr>
      <w:r>
        <w:t xml:space="preserve">Reporting Standards</w:t>
      </w:r>
    </w:p>
    <w:p>
      <w:pPr>
        <w:pStyle w:val="FirstParagraph"/>
      </w:pPr>
      <w:r>
        <w:t xml:space="preserve">We report with reference to the TRIPOD+AI statement [14] where applicable; the completed checklist accompanies the submission as supplementary material.</w:t>
      </w:r>
    </w:p>
    <w:bookmarkEnd w:id="18"/>
    <w:bookmarkEnd w:id="19"/>
    <w:bookmarkStart w:id="26" w:name="results"/>
    <w:p>
      <w:pPr>
        <w:pStyle w:val="Heading2"/>
      </w:pPr>
      <w:r>
        <w:t xml:space="preserve">Results</w:t>
      </w:r>
    </w:p>
    <w:bookmarkStart w:id="20" w:name="cross-dataset-coverage-audit"/>
    <w:p>
      <w:pPr>
        <w:pStyle w:val="Heading3"/>
      </w:pPr>
      <w:r>
        <w:t xml:space="preserve">Cross-Dataset Coverage Audit</w:t>
      </w:r>
    </w:p>
    <w:p>
      <w:pPr>
        <w:pStyle w:val="FirstParagraph"/>
      </w:pPr>
      <w:r>
        <w:t xml:space="preserve">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indicating that the observed coverage deficits were not primarily due to uniformly uninformative full-set predictions. The singleton rate is the fraction of subjects receiving a single-class prediction set — the system’s committed diagnosis. The LightGBM comparator covered 0.963–0.988 in the same directions (mean set sizes 1.92–1.97; singleton rates 0.03–0.08); its higher coverage was accompanied by substantially larger prediction sets and far fewer singleton predictions.</w:t>
      </w:r>
    </w:p>
    <w:bookmarkEnd w:id="20"/>
    <w:bookmarkStart w:id="21" w:name="class-conditional-coverage-asymmetry"/>
    <w:p>
      <w:pPr>
        <w:pStyle w:val="Heading3"/>
      </w:pPr>
      <w:r>
        <w:t xml:space="preserve">Class-Conditional Coverage Asymmetry</w:t>
      </w:r>
    </w:p>
    <w:p>
      <w:pPr>
        <w:pStyle w:val="FirstParagraph"/>
      </w:pPr>
      <w:r>
        <w:t xml:space="preserve">In Tappy→MIT, PD-conditional coverage was 0.214 [0.103, 0.368] (n = 42) while HC coverage was 1.000 (n = 40): 33 of 42 PD participants (78.6%) received prediction sets excluding their true label (Fig. 2). With 34 of the 42 PD participants receiving singleton sets (PD singleton rate 0.810) and only 9 PD participants covered, at least 25 of the 33 misses were single-class sets — which, in a binary problem, necessarily contained only the non-PD label. These misses would therefore have propagated as false reassurance if the illustrative singleton-as-auto-pass mapping were applied. The under-served class flipped with target prevalence: HC-conditional coverage was the deficient one in the two PD-heavy targets (0.700 in MIT→Tappy; 0.627 in clinical→self-report). The comparator score was near-uniform across classes (0.925–1.000). These are measured, unadjusted diagnostics on a frozen cohort, not guarantees.</w:t>
      </w:r>
    </w:p>
    <w:bookmarkEnd w:id="21"/>
    <w:bookmarkStart w:id="22" w:name="coveragediscrimination-decoupling"/>
    <w:p>
      <w:pPr>
        <w:pStyle w:val="Heading3"/>
      </w:pPr>
      <w:r>
        <w:t xml:space="preserve">Coverage–Discrimination Decoupling</w:t>
      </w:r>
    </w:p>
    <w:p>
      <w:pPr>
        <w:pStyle w:val="FirstParagraph"/>
      </w:pPr>
      <w:r>
        <w:t xml:space="preserve">Across all 12 transfer directions, discrimination and coverage moved asynchronously in both predictive models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 The full 12-direction AUC and coverage matrices are provided in the supplement.</w:t>
      </w:r>
    </w:p>
    <w:bookmarkEnd w:id="22"/>
    <w:bookmarkStart w:id="23" w:name="target-recalibration-and-recovery-cost"/>
    <w:p>
      <w:pPr>
        <w:pStyle w:val="Heading3"/>
      </w:pPr>
      <w:r>
        <w:t xml:space="preserve">Target Recalibration and Recovery Cost</w:t>
      </w:r>
    </w:p>
    <w:p>
      <w:pPr>
        <w:pStyle w:val="FirstParagraph"/>
      </w:pPr>
      <w:r>
        <w:t xml:space="preserve">Target recalibration with 9 labels reached the pre-specified 0.80 operational audit threshold with CI support in MIT→Tappy (0.982 [0.947, 0.996]; Fig. 4); 18 labels reached it for clinical→self-report (0.876 [0.837, 0.909], whose CI lower bound remained below the nominal 0.90 level).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These budgets are observed sufficiencies in these cohorts, not general sample-size requirements.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(Fig. 5). Fewer than 9 target labels yield degenerate full-set calibration sets at α = 0.10.</w:t>
      </w:r>
    </w:p>
    <w:bookmarkEnd w:id="23"/>
    <w:bookmarkStart w:id="24" w:name="Xf6093039b3c9b95029ac286670ac4c04d5753bb"/>
    <w:p>
      <w:pPr>
        <w:pStyle w:val="Heading3"/>
      </w:pPr>
      <w:r>
        <w:t xml:space="preserve">Stress Tests of Alternative Shift Explanations</w:t>
      </w:r>
    </w:p>
    <w:p>
      <w:pPr>
        <w:pStyle w:val="FirstParagraph"/>
      </w:pPr>
      <w:r>
        <w:t xml:space="preserve">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6).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other forms of distribution shift, including covariate and conditional shift, remain possible explanations (no causal identification claimed).</w:t>
      </w:r>
    </w:p>
    <w:bookmarkEnd w:id="24"/>
    <w:bookmarkStart w:id="25" w:name="robustness-and-subgroup-analyses"/>
    <w:p>
      <w:pPr>
        <w:pStyle w:val="Heading3"/>
      </w:pPr>
      <w:r>
        <w:t xml:space="preserve">Robustness and Subgroup Analyses</w:t>
      </w:r>
    </w:p>
    <w:p>
      <w:pPr>
        <w:pStyle w:val="FirstParagraph"/>
      </w:pPr>
      <w:r>
        <w:t xml:space="preserve">Under the pre-registered confirmatory pipeline (single seed = 1), no pre-registered sensitivity analysis flipped the primary verdicts: α = 0.20 (0.522–0.705); dual re-inclusion of the three tremor-only participants (largest shift +0.073); quarter-level session re-aggregation (identical results); feature tier as covariate (no monotone gradient). The MIT→Tappy verdict sits close to the decision boundary (CI upper bound 0.8994), and its per-seed split distribution (mean 0.853 ± 0.058) implies that individual splits can fall in the Undetermined band; the 50-seed sensitivity distribution lay below the nominal 0.90 level in its center and in the majority of individual splits, and the pre-registered power analysis is provided in the supplement. Sex-stratified coverage (computable only for Tappy-origin targets) showed an 8.7 pp male deficit in MIT→Tappy; MIT and OE publish no demographic fields, which is reported as a limitation rather than imputed.</w:t>
      </w:r>
    </w:p>
    <w:bookmarkEnd w:id="25"/>
    <w:bookmarkEnd w:id="26"/>
    <w:bookmarkStart w:id="29" w:name="discussion"/>
    <w:p>
      <w:pPr>
        <w:pStyle w:val="Heading2"/>
      </w:pPr>
      <w:r>
        <w:t xml:space="preserve">Discussion</w:t>
      </w:r>
    </w:p>
    <w:p>
      <w:pPr>
        <w:pStyle w:val="FirstParagraph"/>
      </w:pPr>
      <w:r>
        <w:t xml:space="preserve">Under cross-dataset deployment of PD typing classifiers, empirical conformal coverage behaved as a reliability dimension distinct from discrimination: it was statistically incompatible with the nominal level under family-wise control in directions where discrimination looked acceptable, remained compatible in directions where discrimination looked poor (a pattern consistent with a coverage–efficiency trade-off for the comparator’s near-full sets), concealed class-conditional collapse behind acceptable marginal totals, recovered at widely different label costs, and could not be reproduced by the tested prevalence and label-noise mechanisms alone. AUC-only evaluation characterizes discrimination but does not characterize the reliability of prediction-set coverage under deployment shift.</w:t>
      </w:r>
    </w:p>
    <w:bookmarkStart w:id="27" w:name="Xa8a17698c4bfcf7143b6f74643a14804935547e"/>
    <w:p>
      <w:pPr>
        <w:pStyle w:val="Heading3"/>
      </w:pPr>
      <w:r>
        <w:t xml:space="preserve">Coverage Auditing as Deployment Governance</w:t>
      </w:r>
    </w:p>
    <w:p>
      <w:pPr>
        <w:pStyle w:val="FirstParagraph"/>
      </w:pPr>
      <w:r>
        <w:t xml:space="preserve">Operationally, these results indicate that a deployment could pass an AUC acceptance test yet — if singleton sets were operationalized as auto-pass decisions — route most positive patients through that pathway, which is why coverage auditing should be considered a component of a deployment acceptance framework rather than a post-hoc evaluation alone. Concretely: (i) treat the pre-registered verdict vocabulary as a candidate deployment-audit gate, to be validated prospectively before operational use (Undetermined/Incompatible findings should trigger additional validation or remediation before operational use), and schedule periodic re-audits with re-triggering on upstream device or population changes; (ii) budget a small, class-stratified standing calibration set per deployment site — in these cohorts, observed recovery budgets were 9–18 labels where the score survives; where recovery was not achieved within the evaluated calibration budget, deployment would require additional validation or an alternative uncertainty-management strategy; (iii) treat class-conditional audit results as a candidate gating condition before permitting any auto-pass workflow — if singleton sets were operationalized as auto-pass decisions, 78.6% of PD participants in Tappy→MIT would have been incorrectly routed through that pathway; at the observed mean set sizes (1.11–1.53) every prediction set contained one or two labels, so the doubleton (manual-review) fraction under the illustrative mapping is 11–53% of subjects, a modest cost against the failure mode; (iv) position typing-based PD triage as one component of a health-information system referral pathway, not a standalone diagnostic.</w:t>
      </w:r>
    </w:p>
    <w:bookmarkEnd w:id="27"/>
    <w:bookmarkStart w:id="28" w:name="relation-to-prior-work"/>
    <w:p>
      <w:pPr>
        <w:pStyle w:val="Heading3"/>
      </w:pPr>
      <w:r>
        <w:t xml:space="preserve">Relation to Prior Work</w:t>
      </w:r>
    </w:p>
    <w:p>
      <w:pPr>
        <w:pStyle w:val="FirstParagraph"/>
      </w:pPr>
      <w:r>
        <w:t xml:space="preserve">Coverage audits of medical CP exist for cross-institution model transport [13]; PD digital phenotyping has used CP for medication-need intervals [11] and reliable longitudinal assessment on real-world digital neurologic signatures [12] — in-domain. Cross-dataset keystroke benchmarks have left uncertainty unexamined. Our results do not contradict CP theory; they measure what the theory predicts at the boundary of its assumptions, on data a deployment would actually meet.</w:t>
      </w:r>
    </w:p>
    <w:bookmarkEnd w:id="28"/>
    <w:bookmarkEnd w:id="29"/>
    <w:bookmarkStart w:id="30" w:name="limitations"/>
    <w:p>
      <w:pPr>
        <w:pStyle w:val="Heading2"/>
      </w:pPr>
      <w:r>
        <w:t xml:space="preserve">Limitations</w:t>
      </w:r>
    </w:p>
    <w:p>
      <w:pPr>
        <w:pStyle w:val="Compact"/>
        <w:numPr>
          <w:ilvl w:val="0"/>
          <w:numId w:val="1001"/>
        </w:numPr>
      </w:pPr>
      <w:r>
        <w:t xml:space="preserve">Self-report labels qualify the estimand on self-report targets; random flips are not structured mislabeling, and reproduction claims are limited to</w:t>
      </w:r>
      <w:r>
        <w:t xml:space="preserve"> </w:t>
      </w:r>
      <w:r>
        <w:t xml:space="preserve">“sufficient to reproduce”</w:t>
      </w:r>
      <w:r>
        <w:t xml:space="preserve"> </w:t>
      </w:r>
      <w:r>
        <w:t xml:space="preserve">at the pre-specified doses in one direction. (2) The effective reference model is logistic regression following a pre-registered gate failure of the original LightGBM choice (three runs documented); the amendment was frozen before cross-dataset coverage was computed, and the comparator is reported throughout. (3) Model-dependent coverage behavior is established descriptively across two predictive models and 12 non-independent directions; two models demonstrate that coverage failure is not intrinsic to the task, not a general law of model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 (8) The primary confirmatory analysis used a single pre-registered calibration split; repeated-seed analyses were sensitivity analyses and do not replace it. The decision boundary is sensitive to the calibration-set realization, particularly for MIT→Tappy (CI upper bound 0.8994), and the finite target cohorts limit per-class precision (PD-conditional n = 42 in Tappy→MIT).</w:t>
      </w:r>
    </w:p>
    <w:bookmarkEnd w:id="30"/>
    <w:bookmarkStart w:id="31" w:name="conclusion"/>
    <w:p>
      <w:pPr>
        <w:pStyle w:val="Heading2"/>
      </w:pPr>
      <w:r>
        <w:t xml:space="preserve">Conclusion</w:t>
      </w:r>
    </w:p>
    <w:p>
      <w:pPr>
        <w:pStyle w:val="FirstParagraph"/>
      </w:pPr>
      <w:r>
        <w:t xml:space="preserve">Discrimination metrics and empirical coverage behave as distinct reliability dimensions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models’ coverage behavior as part of model selection.</w:t>
      </w:r>
    </w:p>
    <w:p>
      <w:pPr>
        <w:pStyle w:val="BodyText"/>
      </w:pPr>
      <w:r>
        <w:rPr>
          <w:b/>
          <w:bCs/>
        </w:rPr>
        <w:t xml:space="preserve">Supplementary Information</w:t>
      </w:r>
      <w:r>
        <w:t xml:space="preserve"> </w:t>
      </w:r>
      <w:r>
        <w:t xml:space="preserve">The TRIPOD+AI checklist, the full 12-direction AUC and coverage matrices, per-seed split distributions, the pre-registered power analysis, and subgroup tables are provided in the supplementary material.</w:t>
      </w:r>
    </w:p>
    <w:p>
      <w:pPr>
        <w:pStyle w:val="BodyText"/>
      </w:pPr>
      <w:r>
        <w:rPr>
          <w:b/>
          <w:bCs/>
        </w:rPr>
        <w:t xml:space="preserve">Author Contributions</w:t>
      </w:r>
      <w:r>
        <w:t xml:space="preserve"> </w:t>
      </w:r>
      <w:r>
        <w:t xml:space="preserve">[CRediT roles to be completed: conceptualization, methodology, software, investigation, writing — to be assigned by the author.]</w:t>
      </w:r>
    </w:p>
    <w:p>
      <w:pPr>
        <w:pStyle w:val="BodyText"/>
      </w:pPr>
      <w:r>
        <w:rPr>
          <w:b/>
          <w:bCs/>
        </w:rPr>
        <w:t xml:space="preserve">Funding</w:t>
      </w:r>
      <w:r>
        <w:t xml:space="preserve"> </w:t>
      </w:r>
      <w:r>
        <w:t xml:space="preserve">[No funding was received for this study / to be completed by the author.]</w:t>
      </w:r>
    </w:p>
    <w:p>
      <w:pPr>
        <w:pStyle w:val="BodyText"/>
      </w:pPr>
      <w:r>
        <w:rPr>
          <w:b/>
          <w:bCs/>
        </w:rPr>
        <w:t xml:space="preserve">Data Availability</w:t>
      </w:r>
      <w:r>
        <w:t xml:space="preserve"> </w:t>
      </w:r>
      <w:r>
        <w:t xml:space="preserve">All four datasets are publicly available from their original distributors: MIT-CSXPD via PhysioNet (nqmitcsxpd 1.0.0, https://physionet.org/content/nqmitcsxpd/1.0.0/) [1]; Tappy Keplar via PhysioNet (tappy 1.0.0, https://physionet.org/content/tappy/1.0.0/); TyPD/i-PROGNOSIS DS2.5 via Zenodo (record 2571623, https://zenodo.org/records/2571623); Online English via OSF (project ew34b, https://osf.io/ew34b/). No dataset is redistributed. The frozen cohort construction with step-by-step inclusion/exclusion counts is released with the code in the public archive below.</w:t>
      </w:r>
    </w:p>
    <w:p>
      <w:pPr>
        <w:pStyle w:val="BodyText"/>
      </w:pPr>
      <w:r>
        <w:rPr>
          <w:b/>
          <w:bCs/>
        </w:rPr>
        <w:t xml:space="preserve">Code Availability</w:t>
      </w:r>
      <w:r>
        <w:t xml:space="preserve"> </w:t>
      </w:r>
      <w:r>
        <w:t xml:space="preserve">The full pipeline, unit-test suite, figure/table generation scripts, and frozen result tables are publicly available at https://github.com/Tiannn0512/typing-pd-conformal-audit (public timestamp archive; frozen result tag</w:t>
      </w:r>
      <w:r>
        <w:t xml:space="preserve"> </w:t>
      </w:r>
      <w:r>
        <w:rPr>
          <w:rStyle w:val="VerbatimChar"/>
        </w:rPr>
        <w:t xml:space="preserve">results-frozen-v1</w:t>
      </w:r>
      <w:r>
        <w:t xml:space="preserve">). [A citable Zenodo DOI will be added; repository DOI to be completed.]</w:t>
      </w:r>
    </w:p>
    <w:p>
      <w:pPr>
        <w:pStyle w:val="BodyText"/>
      </w:pPr>
      <w:r>
        <w:rPr>
          <w:b/>
          <w:bCs/>
        </w:rPr>
        <w:t xml:space="preserve">Declarations</w:t>
      </w:r>
    </w:p>
    <w:p>
      <w:pPr>
        <w:pStyle w:val="BodyText"/>
      </w:pPr>
      <w:r>
        <w:rPr>
          <w:b/>
          <w:bCs/>
        </w:rPr>
        <w:t xml:space="preserve">Ethics Approval</w:t>
      </w:r>
      <w:r>
        <w:t xml:space="preserve"> </w:t>
      </w:r>
      <w:r>
        <w:t xml:space="preserve">This study used exclusively de-identified, publicly available datasets (MIT-CSXPD, Tappy Keplar, TyPD/i-PROGNOSIS, Online English) released for research use; no new human data were collected and no intervention occurred. [Final ethics/exemption wording to be confirmed against the author’s institutional policy before submission.]</w:t>
      </w:r>
    </w:p>
    <w:p>
      <w:pPr>
        <w:pStyle w:val="BodyText"/>
      </w:pPr>
      <w:r>
        <w:rPr>
          <w:b/>
          <w:bCs/>
        </w:rPr>
        <w:t xml:space="preserve">Consent to Participate</w:t>
      </w:r>
      <w:r>
        <w:t xml:space="preserve"> </w:t>
      </w:r>
      <w:r>
        <w:t xml:space="preserve">Not applicable: no individual participant data were newly collected; all datasets are public research releases with their own consent frameworks.</w:t>
      </w:r>
    </w:p>
    <w:p>
      <w:pPr>
        <w:pStyle w:val="BodyText"/>
      </w:pPr>
      <w:r>
        <w:rPr>
          <w:b/>
          <w:bCs/>
        </w:rPr>
        <w:t xml:space="preserve">Consent for Publication</w:t>
      </w:r>
      <w:r>
        <w:t xml:space="preserve"> </w:t>
      </w:r>
      <w:r>
        <w:t xml:space="preserve">Not applicable: the manuscript contains no identifiable individual data.</w:t>
      </w:r>
    </w:p>
    <w:p>
      <w:pPr>
        <w:pStyle w:val="BodyText"/>
      </w:pPr>
      <w:r>
        <w:rPr>
          <w:b/>
          <w:bCs/>
        </w:rPr>
        <w:t xml:space="preserve">Clinical Trial Number</w:t>
      </w:r>
      <w:r>
        <w:t xml:space="preserve"> </w:t>
      </w:r>
      <w:r>
        <w:t xml:space="preserve">Not applicable.</w:t>
      </w:r>
    </w:p>
    <w:p>
      <w:pPr>
        <w:pStyle w:val="BodyText"/>
      </w:pPr>
      <w:r>
        <w:rPr>
          <w:b/>
          <w:bCs/>
        </w:rPr>
        <w:t xml:space="preserve">Competing Interests</w:t>
      </w:r>
      <w:r>
        <w:t xml:space="preserve"> </w:t>
      </w:r>
      <w:r>
        <w:t xml:space="preserve">The author declares no competing interests. [To be confirmed.]</w:t>
      </w:r>
    </w:p>
    <w:bookmarkEnd w:id="31"/>
    <w:bookmarkStart w:id="32" w:name="references"/>
    <w:p>
      <w:pPr>
        <w:pStyle w:val="Heading2"/>
      </w:pPr>
      <w:r>
        <w:t xml:space="preserve">References</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 xml:space="preserve">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 xml:space="preserve">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 https://doi.org/10.1561/2200000101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 https://doi.org/10.1214/23-AOS2276</w:t>
      </w:r>
    </w:p>
    <w:p>
      <w:pPr>
        <w:pStyle w:val="Compact"/>
        <w:numPr>
          <w:ilvl w:val="0"/>
          <w:numId w:val="1002"/>
        </w:numPr>
      </w:pPr>
      <w:r>
        <w:t xml:space="preserve">Einbinder B-S, Feldman S, Bates S, Angelopoulos AN, Gendler A, Romano Y (2024) Label noise robustness of conformal prediction. J Mach Learn Res 25(328):1–66</w:t>
      </w:r>
    </w:p>
    <w:p>
      <w:pPr>
        <w:pStyle w:val="Compact"/>
        <w:numPr>
          <w:ilvl w:val="0"/>
          <w:numId w:val="1002"/>
        </w:numPr>
      </w:pPr>
      <w:r>
        <w:t xml:space="preserve">Han W, et al (2026) The label complexity of class-conditional coverage under distribution shift. arXiv:2607.18088. https://arxiv.org/abs/2607.18088</w:t>
      </w:r>
    </w:p>
    <w:p>
      <w:pPr>
        <w:pStyle w:val="Compact"/>
        <w:numPr>
          <w:ilvl w:val="0"/>
          <w:numId w:val="1002"/>
        </w:numPr>
      </w:pPr>
      <w:r>
        <w:t xml:space="preserve">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 xml:space="preserve">Wei W, Gao R, Yao S, et al (2026) SGC-RML: a reliable and interpretable longitudinal assessment for PD in real-world DNS. arXiv:2605.08302. https://arxiv.org/abs/2605.08302</w:t>
      </w:r>
    </w:p>
    <w:p>
      <w:pPr>
        <w:pStyle w:val="Compact"/>
        <w:numPr>
          <w:ilvl w:val="0"/>
          <w:numId w:val="1002"/>
        </w:numPr>
      </w:pPr>
      <w:r>
        <w:t xml:space="preserve">Tuwani R, Beam AL (2023) Safe and reliable transport of prediction models to new healthcare settings without the need to collect new labeled data. medRxiv. https://doi.org/10.1101/2023.12.13.23299899 [preprint; no published version located as of 2026-09-27 — re-verify before submission]</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 xml:space="preserve">Taquet V, Blot V, Morzadec T, Lacombe L, Brunel N (2022) MAPIE: an open-source library for distribution-free uncertainty quantification. arXiv:2207.12274. https://arxiv.org/abs/2207.12274</w:t>
      </w:r>
    </w:p>
    <w:p>
      <w:pPr>
        <w:pStyle w:val="Compact"/>
        <w:numPr>
          <w:ilvl w:val="0"/>
          <w:numId w:val="1002"/>
        </w:numPr>
      </w:pPr>
      <w:r>
        <w:t xml:space="preserve">Lipton ZC, Wang Y-X, Smola A (2018) Detecting and correcting for label shift with black box predictors. In: ICML 35</w:t>
      </w:r>
    </w:p>
    <w:p>
      <w:r>
        <w:br w:type="page"/>
      </w:r>
    </w:p>
    <w:bookmarkEnd w:id="32"/>
    <w:bookmarkEnd w:id="33"/>
    <w:bookmarkStart w:id="34" w:name="tables"/>
    <w:p>
      <w:pPr>
        <w:pStyle w:val="Heading1"/>
      </w:pPr>
      <w:r>
        <w:t xml:space="preserve">Tables</w:t>
      </w:r>
    </w:p>
    <w:p>
      <w:pPr>
        <w:pStyle w:val="FirstParagraph"/>
      </w:pPr>
      <w:r>
        <w:rPr>
          <w:b/>
          <w:bCs/>
        </w:rPr>
        <w:t xml:space="preserve">Table 1.</w:t>
      </w:r>
      <w:r>
        <w:t xml:space="preserve"> </w:t>
      </w:r>
      <w:r>
        <w:t xml:space="preserve">Frozen cohort construction (subjects; PD/HC). The descriptive audit matrix covers all 12 ordered dataset pairs; the</w:t>
      </w:r>
      <w:r>
        <w:t xml:space="preserve"> </w:t>
      </w:r>
      <w:r>
        <w:t xml:space="preserve">“primary family”</w:t>
      </w:r>
      <w:r>
        <w:t xml:space="preserve"> </w:t>
      </w:r>
      <w:r>
        <w:t xml:space="preserve">roles below refer to the confirmatory family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Role</w:t>
            </w:r>
          </w:p>
        </w:tc>
        <w:tc>
          <w:tcPr/>
          <w:p>
            <w:pPr>
              <w:pStyle w:val="Compact"/>
            </w:pPr>
            <w:r>
              <w:t xml:space="preserve">Eligible</w:t>
            </w:r>
          </w:p>
        </w:tc>
        <w:tc>
          <w:tcPr/>
          <w:p>
            <w:pPr>
              <w:pStyle w:val="Compact"/>
            </w:pPr>
            <w:r>
              <w:t xml:space="preserve">PD</w:t>
            </w:r>
          </w:p>
        </w:tc>
        <w:tc>
          <w:tcPr/>
          <w:p>
            <w:pPr>
              <w:pStyle w:val="Compact"/>
            </w:pPr>
            <w:r>
              <w:t xml:space="preserve">HC</w:t>
            </w:r>
          </w:p>
        </w:tc>
      </w:tr>
      <w:tr>
        <w:tc>
          <w:tcPr/>
          <w:p>
            <w:pPr>
              <w:pStyle w:val="Compact"/>
            </w:pPr>
            <w:r>
              <w:t xml:space="preserve">MIT-CSXPD</w:t>
            </w:r>
          </w:p>
        </w:tc>
        <w:tc>
          <w:tcPr/>
          <w:p>
            <w:pPr>
              <w:pStyle w:val="Compact"/>
            </w:pPr>
            <w:r>
              <w:t xml:space="preserve">Clinical gold standard; primary family: source (directions 2, 3) / target (direction 1)</w:t>
            </w:r>
          </w:p>
        </w:tc>
        <w:tc>
          <w:tcPr/>
          <w:p>
            <w:pPr>
              <w:pStyle w:val="Compact"/>
            </w:pPr>
            <w:r>
              <w:t xml:space="preserve">82</w:t>
            </w:r>
          </w:p>
        </w:tc>
        <w:tc>
          <w:tcPr/>
          <w:p>
            <w:pPr>
              <w:pStyle w:val="Compact"/>
            </w:pPr>
            <w:r>
              <w:t xml:space="preserve">42</w:t>
            </w:r>
          </w:p>
        </w:tc>
        <w:tc>
          <w:tcPr/>
          <w:p>
            <w:pPr>
              <w:pStyle w:val="Compact"/>
            </w:pPr>
            <w:r>
              <w:t xml:space="preserve">40</w:t>
            </w:r>
          </w:p>
        </w:tc>
      </w:tr>
      <w:tr>
        <w:tc>
          <w:tcPr/>
          <w:p>
            <w:pPr>
              <w:pStyle w:val="Compact"/>
            </w:pPr>
            <w:r>
              <w:t xml:space="preserve">Tappy Keplar</w:t>
            </w:r>
          </w:p>
        </w:tc>
        <w:tc>
          <w:tcPr/>
          <w:p>
            <w:pPr>
              <w:pStyle w:val="Compact"/>
            </w:pPr>
            <w:r>
              <w:t xml:space="preserve">Self-report; primary family: source (direction 1) / target (direction 2)</w:t>
            </w:r>
          </w:p>
        </w:tc>
        <w:tc>
          <w:tcPr/>
          <w:p>
            <w:pPr>
              <w:pStyle w:val="Compact"/>
            </w:pPr>
            <w:r>
              <w:t xml:space="preserve">173</w:t>
            </w:r>
          </w:p>
        </w:tc>
        <w:tc>
          <w:tcPr/>
          <w:p>
            <w:pPr>
              <w:pStyle w:val="Compact"/>
            </w:pPr>
            <w:r>
              <w:t xml:space="preserve">133</w:t>
            </w:r>
          </w:p>
        </w:tc>
        <w:tc>
          <w:tcPr/>
          <w:p>
            <w:pPr>
              <w:pStyle w:val="Compact"/>
            </w:pPr>
            <w:r>
              <w:t xml:space="preserve">40</w:t>
            </w:r>
          </w:p>
        </w:tc>
      </w:tr>
      <w:tr>
        <w:tc>
          <w:tcPr/>
          <w:p>
            <w:pPr>
              <w:pStyle w:val="Compact"/>
            </w:pPr>
            <w:r>
              <w:t xml:space="preserve">TyPD (i-PROGNOSIS)</w:t>
            </w:r>
          </w:p>
        </w:tc>
        <w:tc>
          <w:tcPr/>
          <w:p>
            <w:pPr>
              <w:pStyle w:val="Compact"/>
            </w:pPr>
            <w:r>
              <w:t xml:space="preserve">Clinical; primary family: merged source pool only; descriptive matrix: source and target</w:t>
            </w:r>
          </w:p>
        </w:tc>
        <w:tc>
          <w:tcPr/>
          <w:p>
            <w:pPr>
              <w:pStyle w:val="Compact"/>
            </w:pPr>
            <w:r>
              <w:t xml:space="preserve">27</w:t>
            </w:r>
          </w:p>
        </w:tc>
        <w:tc>
          <w:tcPr/>
          <w:p>
            <w:pPr>
              <w:pStyle w:val="Compact"/>
            </w:pPr>
            <w:r>
              <w:t xml:space="preserve">12</w:t>
            </w:r>
          </w:p>
        </w:tc>
        <w:tc>
          <w:tcPr/>
          <w:p>
            <w:pPr>
              <w:pStyle w:val="Compact"/>
            </w:pPr>
            <w:r>
              <w:t xml:space="preserve">15</w:t>
            </w:r>
          </w:p>
        </w:tc>
      </w:tr>
      <w:tr>
        <w:tc>
          <w:tcPr/>
          <w:p>
            <w:pPr>
              <w:pStyle w:val="Compact"/>
            </w:pPr>
            <w:r>
              <w:t xml:space="preserve">Online English</w:t>
            </w:r>
          </w:p>
        </w:tc>
        <w:tc>
          <w:tcPr/>
          <w:p>
            <w:pPr>
              <w:pStyle w:val="Compact"/>
            </w:pPr>
            <w:r>
              <w:t xml:space="preserve">Self-report; primary family: merged target only; descriptive matrix: source and target</w:t>
            </w:r>
          </w:p>
        </w:tc>
        <w:tc>
          <w:tcPr/>
          <w:p>
            <w:pPr>
              <w:pStyle w:val="Compact"/>
            </w:pPr>
            <w:r>
              <w:t xml:space="preserve">193</w:t>
            </w:r>
          </w:p>
        </w:tc>
        <w:tc>
          <w:tcPr/>
          <w:p>
            <w:pPr>
              <w:pStyle w:val="Compact"/>
            </w:pPr>
            <w:r>
              <w:t xml:space="preserve">83</w:t>
            </w:r>
          </w:p>
        </w:tc>
        <w:tc>
          <w:tcPr/>
          <w:p>
            <w:pPr>
              <w:pStyle w:val="Compact"/>
            </w:pPr>
            <w:r>
              <w:t xml:space="preserve">110</w:t>
            </w:r>
          </w:p>
        </w:tc>
      </w:tr>
      <w:tr>
        <w:tc>
          <w:tcPr/>
          <w:p>
            <w:pPr>
              <w:pStyle w:val="Compact"/>
            </w:pPr>
            <w:r>
              <w:rPr>
                <w:b/>
                <w:bCs/>
              </w:rPr>
              <w:t xml:space="preserve">Total</w:t>
            </w:r>
          </w:p>
        </w:tc>
        <w:tc>
          <w:tcPr/>
          <w:p>
            <w:pPr>
              <w:pStyle w:val="Compact"/>
            </w:pPr>
          </w:p>
        </w:tc>
        <w:tc>
          <w:tcPr/>
          <w:p>
            <w:pPr>
              <w:pStyle w:val="Compact"/>
            </w:pPr>
            <w:r>
              <w:rPr>
                <w:b/>
                <w:bCs/>
              </w:rPr>
              <w:t xml:space="preserve">475</w:t>
            </w:r>
          </w:p>
        </w:tc>
        <w:tc>
          <w:tcPr/>
          <w:p>
            <w:pPr>
              <w:pStyle w:val="Compact"/>
            </w:pPr>
            <w:r>
              <w:rPr>
                <w:b/>
                <w:bCs/>
              </w:rPr>
              <w:t xml:space="preserve">270</w:t>
            </w:r>
          </w:p>
        </w:tc>
        <w:tc>
          <w:tcPr/>
          <w:p>
            <w:pPr>
              <w:pStyle w:val="Compact"/>
            </w:pPr>
            <w:r>
              <w:rPr>
                <w:b/>
                <w:bCs/>
              </w:rPr>
              <w:t xml:space="preserve">205</w:t>
            </w:r>
          </w:p>
        </w:tc>
      </w:tr>
    </w:tbl>
    <w:p>
      <w:pPr>
        <w:pStyle w:val="BodyText"/>
      </w:pPr>
      <w:r>
        <w:rPr>
          <w:b/>
          <w:bCs/>
        </w:rPr>
        <w:t xml:space="preserve">Table 2.</w:t>
      </w:r>
      <w:r>
        <w:t xml:space="preserve"> </w:t>
      </w:r>
      <w:r>
        <w:t xml:space="preserve">Primary family (α = 0.10, split CP, confirmatory seed = 1). Verdicts under family-wise Holm correction (H0: true coverage ≥ 0.90). LR = logistic-regression primary reference; LGBM = LightGBM comparator (not in the test family).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Direction</w:t>
            </w:r>
          </w:p>
        </w:tc>
        <w:tc>
          <w:tcPr/>
          <w:p>
            <w:pPr>
              <w:pStyle w:val="Compact"/>
            </w:pPr>
            <w:r>
              <w:t xml:space="preserve">Model</w:t>
            </w:r>
          </w:p>
        </w:tc>
        <w:tc>
          <w:tcPr/>
          <w:p>
            <w:pPr>
              <w:pStyle w:val="Compact"/>
            </w:pPr>
            <w:r>
              <w:t xml:space="preserve">K/n</w:t>
            </w:r>
          </w:p>
        </w:tc>
        <w:tc>
          <w:tcPr/>
          <w:p>
            <w:pPr>
              <w:pStyle w:val="Compact"/>
            </w:pPr>
            <w:r>
              <w:t xml:space="preserve">Coverage [95% CI]</w:t>
            </w:r>
          </w:p>
        </w:tc>
        <w:tc>
          <w:tcPr/>
          <w:p>
            <w:pPr>
              <w:pStyle w:val="Compact"/>
            </w:pPr>
            <w:r>
              <w:t xml:space="preserve">Holm q</w:t>
            </w:r>
          </w:p>
        </w:tc>
        <w:tc>
          <w:tcPr/>
          <w:p>
            <w:pPr>
              <w:pStyle w:val="Compact"/>
            </w:pPr>
            <w:r>
              <w:t xml:space="preserve">Verdict</w:t>
            </w:r>
          </w:p>
        </w:tc>
      </w:tr>
      <w:tr>
        <w:tc>
          <w:tcPr/>
          <w:p>
            <w:pPr>
              <w:pStyle w:val="Compact"/>
            </w:pPr>
            <w:r>
              <w:t xml:space="preserve">Tappy→MIT</w:t>
            </w:r>
          </w:p>
        </w:tc>
        <w:tc>
          <w:tcPr/>
          <w:p>
            <w:pPr>
              <w:pStyle w:val="Compact"/>
            </w:pPr>
            <w:r>
              <w:t xml:space="preserve">LR</w:t>
            </w:r>
          </w:p>
        </w:tc>
        <w:tc>
          <w:tcPr/>
          <w:p>
            <w:pPr>
              <w:pStyle w:val="Compact"/>
            </w:pPr>
            <w:r>
              <w:t xml:space="preserve">49/82</w:t>
            </w:r>
          </w:p>
        </w:tc>
        <w:tc>
          <w:tcPr/>
          <w:p>
            <w:pPr>
              <w:pStyle w:val="Compact"/>
            </w:pPr>
            <w:r>
              <w:t xml:space="preserve">0.598 [0.483, 0.704]</w:t>
            </w:r>
          </w:p>
        </w:tc>
        <w:tc>
          <w:tcPr/>
          <w:p>
            <w:pPr>
              <w:pStyle w:val="Compact"/>
            </w:pPr>
            <w:r>
              <w:t xml:space="preserve">1.2×10⁻¹²</w:t>
            </w:r>
          </w:p>
        </w:tc>
        <w:tc>
          <w:tcPr/>
          <w:p>
            <w:pPr>
              <w:pStyle w:val="Compact"/>
            </w:pPr>
            <w:r>
              <w:t xml:space="preserve">Incompatible</w:t>
            </w:r>
          </w:p>
        </w:tc>
      </w:tr>
      <w:tr>
        <w:tc>
          <w:tcPr/>
          <w:p>
            <w:pPr>
              <w:pStyle w:val="Compact"/>
            </w:pPr>
            <w:r>
              <w:t xml:space="preserve">Tappy→MIT</w:t>
            </w:r>
          </w:p>
        </w:tc>
        <w:tc>
          <w:tcPr/>
          <w:p>
            <w:pPr>
              <w:pStyle w:val="Compact"/>
            </w:pPr>
            <w:r>
              <w:t xml:space="preserve">LGBM</w:t>
            </w:r>
          </w:p>
        </w:tc>
        <w:tc>
          <w:tcPr/>
          <w:p>
            <w:pPr>
              <w:pStyle w:val="Compact"/>
            </w:pPr>
            <w:r>
              <w:t xml:space="preserve">79/82</w:t>
            </w:r>
          </w:p>
        </w:tc>
        <w:tc>
          <w:tcPr/>
          <w:p>
            <w:pPr>
              <w:pStyle w:val="Compact"/>
            </w:pPr>
            <w:r>
              <w:t xml:space="preserve">0.963 [0.897, 0.992]</w:t>
            </w:r>
          </w:p>
        </w:tc>
        <w:tc>
          <w:tcPr/>
          <w:p>
            <w:pPr>
              <w:pStyle w:val="Compact"/>
            </w:pPr>
            <w:r>
              <w:t xml:space="preserve">— (comparator)</w:t>
            </w:r>
          </w:p>
        </w:tc>
        <w:tc>
          <w:tcPr/>
          <w:p>
            <w:pPr>
              <w:pStyle w:val="Compact"/>
            </w:pPr>
            <w:r>
              <w:t xml:space="preserve">—</w:t>
            </w:r>
          </w:p>
        </w:tc>
      </w:tr>
      <w:tr>
        <w:tc>
          <w:tcPr/>
          <w:p>
            <w:pPr>
              <w:pStyle w:val="Compact"/>
            </w:pPr>
            <w:r>
              <w:t xml:space="preserve">MIT→Tappy</w:t>
            </w:r>
          </w:p>
        </w:tc>
        <w:tc>
          <w:tcPr/>
          <w:p>
            <w:pPr>
              <w:pStyle w:val="Compact"/>
            </w:pPr>
            <w:r>
              <w:t xml:space="preserve">LR</w:t>
            </w:r>
          </w:p>
        </w:tc>
        <w:tc>
          <w:tcPr/>
          <w:p>
            <w:pPr>
              <w:pStyle w:val="Compact"/>
            </w:pPr>
            <w:r>
              <w:t xml:space="preserve">147/173</w:t>
            </w:r>
          </w:p>
        </w:tc>
        <w:tc>
          <w:tcPr/>
          <w:p>
            <w:pPr>
              <w:pStyle w:val="Compact"/>
            </w:pPr>
            <w:r>
              <w:t xml:space="preserve">0.850 [0.788, 0.899]</w:t>
            </w:r>
          </w:p>
        </w:tc>
        <w:tc>
          <w:tcPr/>
          <w:p>
            <w:pPr>
              <w:pStyle w:val="Compact"/>
            </w:pPr>
            <w:r>
              <w:t xml:space="preserve">0.023</w:t>
            </w:r>
          </w:p>
        </w:tc>
        <w:tc>
          <w:tcPr/>
          <w:p>
            <w:pPr>
              <w:pStyle w:val="Compact"/>
            </w:pPr>
            <w:r>
              <w:t xml:space="preserve">Incompatible</w:t>
            </w:r>
          </w:p>
        </w:tc>
      </w:tr>
      <w:tr>
        <w:tc>
          <w:tcPr/>
          <w:p>
            <w:pPr>
              <w:pStyle w:val="Compact"/>
            </w:pPr>
            <w:r>
              <w:t xml:space="preserve">MIT→Tappy</w:t>
            </w:r>
          </w:p>
        </w:tc>
        <w:tc>
          <w:tcPr/>
          <w:p>
            <w:pPr>
              <w:pStyle w:val="Compact"/>
            </w:pPr>
            <w:r>
              <w:t xml:space="preserve">LGBM</w:t>
            </w:r>
          </w:p>
        </w:tc>
        <w:tc>
          <w:tcPr/>
          <w:p>
            <w:pPr>
              <w:pStyle w:val="Compact"/>
            </w:pPr>
            <w:r>
              <w:t xml:space="preserve">171/173</w:t>
            </w:r>
          </w:p>
        </w:tc>
        <w:tc>
          <w:tcPr/>
          <w:p>
            <w:pPr>
              <w:pStyle w:val="Compact"/>
            </w:pPr>
            <w:r>
              <w:t xml:space="preserve">0.988 [0.959, 0.999]</w:t>
            </w:r>
          </w:p>
        </w:tc>
        <w:tc>
          <w:tcPr/>
          <w:p>
            <w:pPr>
              <w:pStyle w:val="Compact"/>
            </w:pPr>
            <w:r>
              <w:t xml:space="preserve">— (comparator)</w:t>
            </w:r>
          </w:p>
        </w:tc>
        <w:tc>
          <w:tcPr/>
          <w:p>
            <w:pPr>
              <w:pStyle w:val="Compact"/>
            </w:pPr>
            <w:r>
              <w:t xml:space="preserve">—</w:t>
            </w:r>
          </w:p>
        </w:tc>
      </w:tr>
      <w:tr>
        <w:tc>
          <w:tcPr/>
          <w:p>
            <w:pPr>
              <w:pStyle w:val="Compact"/>
            </w:pPr>
            <w:r>
              <w:t xml:space="preserve">Clinical→Self-report</w:t>
            </w:r>
          </w:p>
        </w:tc>
        <w:tc>
          <w:tcPr/>
          <w:p>
            <w:pPr>
              <w:pStyle w:val="Compact"/>
            </w:pPr>
            <w:r>
              <w:t xml:space="preserve">LR</w:t>
            </w:r>
          </w:p>
        </w:tc>
        <w:tc>
          <w:tcPr/>
          <w:p>
            <w:pPr>
              <w:pStyle w:val="Compact"/>
            </w:pPr>
            <w:r>
              <w:t xml:space="preserve">268/366</w:t>
            </w:r>
          </w:p>
        </w:tc>
        <w:tc>
          <w:tcPr/>
          <w:p>
            <w:pPr>
              <w:pStyle w:val="Compact"/>
            </w:pPr>
            <w:r>
              <w:t xml:space="preserve">0.732 [0.684, 0.777]</w:t>
            </w:r>
          </w:p>
        </w:tc>
        <w:tc>
          <w:tcPr/>
          <w:p>
            <w:pPr>
              <w:pStyle w:val="Compact"/>
            </w:pPr>
            <w:r>
              <w:t xml:space="preserve">2.5×10⁻¹⁹</w:t>
            </w:r>
          </w:p>
        </w:tc>
        <w:tc>
          <w:tcPr/>
          <w:p>
            <w:pPr>
              <w:pStyle w:val="Compact"/>
            </w:pPr>
            <w:r>
              <w:t xml:space="preserve">Incompatible</w:t>
            </w:r>
          </w:p>
        </w:tc>
      </w:tr>
      <w:tr>
        <w:tc>
          <w:tcPr/>
          <w:p>
            <w:pPr>
              <w:pStyle w:val="Compact"/>
            </w:pPr>
            <w:r>
              <w:t xml:space="preserve">Clinical→Self-report</w:t>
            </w:r>
          </w:p>
        </w:tc>
        <w:tc>
          <w:tcPr/>
          <w:p>
            <w:pPr>
              <w:pStyle w:val="Compact"/>
            </w:pPr>
            <w:r>
              <w:t xml:space="preserve">LGBM</w:t>
            </w:r>
          </w:p>
        </w:tc>
        <w:tc>
          <w:tcPr/>
          <w:p>
            <w:pPr>
              <w:pStyle w:val="Compact"/>
            </w:pPr>
            <w:r>
              <w:t xml:space="preserve">354/366</w:t>
            </w:r>
          </w:p>
        </w:tc>
        <w:tc>
          <w:tcPr/>
          <w:p>
            <w:pPr>
              <w:pStyle w:val="Compact"/>
            </w:pPr>
            <w:r>
              <w:t xml:space="preserve">0.967 [0.943, 0.983]</w:t>
            </w:r>
          </w:p>
        </w:tc>
        <w:tc>
          <w:tcPr/>
          <w:p>
            <w:pPr>
              <w:pStyle w:val="Compact"/>
            </w:pPr>
            <w:r>
              <w:t xml:space="preserve">— (comparator)</w:t>
            </w:r>
          </w:p>
        </w:tc>
        <w:tc>
          <w:tcPr/>
          <w:p>
            <w:pPr>
              <w:pStyle w:val="Compact"/>
            </w:pPr>
            <w:r>
              <w:t xml:space="preserve">—</w:t>
            </w:r>
          </w:p>
        </w:tc>
      </w:tr>
    </w:tbl>
    <w:p>
      <w:r>
        <w:br w:type="page"/>
      </w:r>
    </w:p>
    <w:bookmarkEnd w:id="34"/>
    <w:bookmarkStart w:id="53" w:name="figures"/>
    <w:p>
      <w:pPr>
        <w:pStyle w:val="Heading1"/>
      </w:pPr>
      <w:r>
        <w:t xml:space="preserve">Figures</w:t>
      </w:r>
    </w:p>
    <w:p>
      <w:pPr>
        <w:pStyle w:val="FirstParagraph"/>
      </w:pPr>
      <w:r>
        <w:rPr>
          <w:b/>
          <w:bCs/>
        </w:rPr>
        <w:t xml:space="preserve">Fig. 1</w:t>
      </w:r>
      <w:r>
        <w:t xml:space="preserve"> </w:t>
      </w:r>
      <w:r>
        <w:t xml:space="preserve">Primary-family coverage on target cohorts (Clopper–Pearson 95% CI). Dashed line = nominal 0.90; dotted = pre-specified operational audit threshold 0.80. LR = primary reference; LGBM = comparator</w:t>
      </w:r>
    </w:p>
    <w:p>
      <w:pPr>
        <w:pStyle w:val="CaptionedFigure"/>
      </w:pPr>
      <w:r>
        <w:drawing>
          <wp:inline>
            <wp:extent cx="5334000" cy="2296583"/>
            <wp:effectExtent b="0" l="0" r="0" t="0"/>
            <wp:docPr descr="Fig1" title="" id="36" name="Picture"/>
            <a:graphic>
              <a:graphicData uri="http://schemas.openxmlformats.org/drawingml/2006/picture">
                <pic:pic>
                  <pic:nvPicPr>
                    <pic:cNvPr descr="../figures/fig1_primary_forest.png" id="37" name="Picture"/>
                    <pic:cNvPicPr>
                      <a:picLocks noChangeArrowheads="1" noChangeAspect="1"/>
                    </pic:cNvPicPr>
                  </pic:nvPicPr>
                  <pic:blipFill>
                    <a:blip r:embed="rId35"/>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Fig1</w:t>
      </w:r>
    </w:p>
    <w:p>
      <w:pPr>
        <w:pStyle w:val="BodyText"/>
      </w:pPr>
      <w:r>
        <w:rPr>
          <w:b/>
          <w:bCs/>
        </w:rPr>
        <w:t xml:space="preserve">Fig. 2</w:t>
      </w:r>
      <w:r>
        <w:t xml:space="preserve"> </w:t>
      </w:r>
      <w:r>
        <w:t xml:space="preserve">PD/HC class-conditional coverage (measured, unadjusted safety diagnostic — not a guarantee). Left = LR; right = LGBM. Squares = PD; circles = HC; annotations give per-class n</w:t>
      </w:r>
    </w:p>
    <w:p>
      <w:pPr>
        <w:pStyle w:val="CaptionedFigure"/>
      </w:pPr>
      <w:r>
        <w:drawing>
          <wp:inline>
            <wp:extent cx="5334000" cy="2222500"/>
            <wp:effectExtent b="0" l="0" r="0" t="0"/>
            <wp:docPr descr="Fig2" title="" id="39" name="Picture"/>
            <a:graphic>
              <a:graphicData uri="http://schemas.openxmlformats.org/drawingml/2006/picture">
                <pic:pic>
                  <pic:nvPicPr>
                    <pic:cNvPr descr="../figures/fig2_class_conditional.png" id="40" name="Picture"/>
                    <pic:cNvPicPr>
                      <a:picLocks noChangeArrowheads="1" noChangeAspect="1"/>
                    </pic:cNvPicPr>
                  </pic:nvPicPr>
                  <pic:blipFill>
                    <a:blip r:embed="rId38"/>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Fig2</w:t>
      </w:r>
    </w:p>
    <w:p>
      <w:pPr>
        <w:pStyle w:val="BodyText"/>
      </w:pPr>
      <w:r>
        <w:rPr>
          <w:b/>
          <w:bCs/>
        </w:rPr>
        <w:t xml:space="preserve">Fig. 3</w:t>
      </w:r>
      <w:r>
        <w:t xml:space="preserve"> </w:t>
      </w:r>
      <w:r>
        <w:t xml:space="preserve">Decoupling map: ΔAUC vs Δcoverage (50-seed means; 12 non-independent directions — descriptive, no correlation test). Left = LR; right = LGBM. Labels: dataset initials T = Tappy, M = MIT, Y = TyPD, O = Online English; arrow = transfer direction</w:t>
      </w:r>
    </w:p>
    <w:p>
      <w:pPr>
        <w:pStyle w:val="CaptionedFigure"/>
      </w:pPr>
      <w:r>
        <w:drawing>
          <wp:inline>
            <wp:extent cx="5334000" cy="2518833"/>
            <wp:effectExtent b="0" l="0" r="0" t="0"/>
            <wp:docPr descr="Fig3" title="" id="42" name="Picture"/>
            <a:graphic>
              <a:graphicData uri="http://schemas.openxmlformats.org/drawingml/2006/picture">
                <pic:pic>
                  <pic:nvPicPr>
                    <pic:cNvPr descr="../figures/fig3_decoupling.png" id="43" name="Picture"/>
                    <pic:cNvPicPr>
                      <a:picLocks noChangeArrowheads="1" noChangeAspect="1"/>
                    </pic:cNvPicPr>
                  </pic:nvPicPr>
                  <pic:blipFill>
                    <a:blip r:embed="rId41"/>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Fig3</w:t>
      </w:r>
    </w:p>
    <w:p>
      <w:pPr>
        <w:pStyle w:val="BodyText"/>
      </w:pPr>
      <w:r>
        <w:rPr>
          <w:b/>
          <w:bCs/>
        </w:rPr>
        <w:t xml:space="preserve">Fig. 4</w:t>
      </w:r>
      <w:r>
        <w:t xml:space="preserve"> </w:t>
      </w:r>
      <w:r>
        <w:t xml:space="preserve">Recovery-cost curves. Open markers = degenerate full-set calibration (m&lt;9); stars = weighted CP at 0 labels (rejection 0.86–1.00): coverage without utility. Non-monotonic segments reflect single-draw sampling noise (pre-declared). Audit 0.80 = pre-specified operational audit threshold</w:t>
      </w:r>
      <w:r>
        <w:t xml:space="preserve"> The Tappy→MIT and MIT→Tappy weighted-CP stars coincide at (0 labels, coverage 1.00) and are offset horizontally for visibility.</w:t>
      </w:r>
    </w:p>
    <w:p>
      <w:pPr>
        <w:pStyle w:val="CaptionedFigure"/>
      </w:pPr>
      <w:r>
        <w:drawing>
          <wp:inline>
            <wp:extent cx="5334000" cy="2667000"/>
            <wp:effectExtent b="0" l="0" r="0" t="0"/>
            <wp:docPr descr="Fig4" title="" id="45" name="Picture"/>
            <a:graphic>
              <a:graphicData uri="http://schemas.openxmlformats.org/drawingml/2006/picture">
                <pic:pic>
                  <pic:nvPicPr>
                    <pic:cNvPr descr="../figures/fig4_recovery_cost.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Fig4</w:t>
      </w:r>
    </w:p>
    <w:p>
      <w:pPr>
        <w:pStyle w:val="BodyText"/>
      </w:pPr>
      <w:r>
        <w:rPr>
          <w:b/>
          <w:bCs/>
        </w:rPr>
        <w:t xml:space="preserve">Fig. 5</w:t>
      </w:r>
      <w:r>
        <w:t xml:space="preserve"> </w:t>
      </w:r>
      <w:r>
        <w:t xml:space="preserve">Coverage–abstention trade-off under label-free density-ratio weighting (0 target labels), three primary directions. Left: overall coverage on held-out target subjects (dashed = nominal 0.90; dotted = pre-specified operational audit threshold 0.80). Right: rejection (abstention) rate — the fraction of subjects whose prediction set is the full label set, i.e., no usable ranking</w:t>
      </w:r>
    </w:p>
    <w:p>
      <w:pPr>
        <w:pStyle w:val="CaptionedFigure"/>
      </w:pPr>
      <w:r>
        <w:drawing>
          <wp:inline>
            <wp:extent cx="5334000" cy="2296583"/>
            <wp:effectExtent b="0" l="0" r="0" t="0"/>
            <wp:docPr descr="Fig5" title="" id="48" name="Picture"/>
            <a:graphic>
              <a:graphicData uri="http://schemas.openxmlformats.org/drawingml/2006/picture">
                <pic:pic>
                  <pic:nvPicPr>
                    <pic:cNvPr descr="../figures/fig5_weighted_cp_tradeoff.png" id="49" name="Picture"/>
                    <pic:cNvPicPr>
                      <a:picLocks noChangeArrowheads="1" noChangeAspect="1"/>
                    </pic:cNvPicPr>
                  </pic:nvPicPr>
                  <pic:blipFill>
                    <a:blip r:embed="rId47"/>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Fig5</w:t>
      </w:r>
    </w:p>
    <w:p>
      <w:pPr>
        <w:pStyle w:val="BodyText"/>
      </w:pPr>
      <w:r>
        <w:rPr>
          <w:b/>
          <w:bCs/>
        </w:rPr>
        <w:t>Fig. 6 Controlled stress tests, Tappy→MIT direction. A: calibration-only synthetic label-flip dose–response on the clinical source (theory-aligned). B: train+calibration label flips (deployment reading). C: three-arm real-transfer test — PD/HC-conditional coverage for the observed phenotype vs prevalence re-matching (pool level), prevalence-preserving flips and their combination (train+calibration scope). Shaded bands indicate the pre-specified ±5 percentage-point practical-equivalence tolerance around the observed phenotype; they are not confidence intervals</w:t>
      </w:r>
      <w:r/>
      <w:r/>
    </w:p>
    <w:p>
      <w:pPr>
        <w:pStyle w:val="CaptionedFigure"/>
      </w:pPr>
      <w:r>
        <w:drawing>
          <wp:inline>
            <wp:extent cx="5334000" cy="6518667"/>
            <wp:effectExtent b="0" l="0" r="0" t="0"/>
            <wp:docPr descr="Fig6" title="" id="51" name="Picture"/>
            <a:graphic>
              <a:graphicData uri="http://schemas.openxmlformats.org/drawingml/2006/picture">
                <pic:pic>
                  <pic:nvPicPr>
                    <pic:cNvPr descr="../figures/fig6_stress_tests.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Fig6</w:t>
      </w:r>
    </w:p>
    <w:bookmarkEnd w:id="53"/>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2026-09-27T09:51:44Z</dcterms:created>
  <dcterms:modified xsi:type="dcterms:W3CDTF">2026-09-27T09:51:44Z</dcterms:modified>
</cp:coreProperties>
</file>

<file path=docProps/custom.xml><?xml version="1.0" encoding="utf-8"?>
<Properties xmlns="http://schemas.openxmlformats.org/officeDocument/2006/custom-properties" xmlns:vt="http://schemas.openxmlformats.org/officeDocument/2006/docPropsVTypes"/>
</file>