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312ab6dae849adc8004bca2c23860642c0aa5d"/>
    <w:p>
      <w:pPr>
        <w:pStyle w:val="Heading1"/>
      </w:pPr>
      <w:r>
        <w:t>Cross-Dataset Conformal Coverage Audit of Parkinson’s Disease Typing Classifiers Under Deployment Shift</w:t>
      </w:r>
    </w:p>
    <w:p>
      <w:pPr>
        <w:pStyle w:val="FirstParagraph"/>
      </w:pPr>
      <w:r>
        <w:rPr>
          <w:b/>
          <w:bCs/>
        </w:rPr>
        <w:t>Authors: Taylor [Given name, Family name]¹</w:t>
      </w:r>
      <w:r/>
      <w:r/>
    </w:p>
    <w:p>
      <w:pPr>
        <w:pStyle w:val="BodyText"/>
      </w:pPr>
      <w:r>
        <w:t>¹ [Department, Institution, City, Country]</w:t>
      </w:r>
    </w:p>
    <w:p>
      <w:pPr>
        <w:pStyle w:val="BodyText"/>
      </w:pPr>
      <w:r>
        <w:rPr>
          <w:b/>
          <w:bCs/>
        </w:rPr>
        <w:t>Corresponding author: [Given name, Family name]; e-mail: [to be completed]</w:t>
      </w:r>
      <w:r/>
      <w:r/>
    </w:p>
    <w:p>
      <w:pPr>
        <w:pStyle w:val="BodyText"/>
      </w:pPr>
      <w:r>
        <w:rPr>
          <w:b/>
          <w:bCs/>
        </w:rPr>
        <w:t>ORCID: [16-digit iD to be completed]</w:t>
      </w:r>
      <w:r/>
      <w:r/>
    </w:p>
    <w:bookmarkStart w:id="9" w:name="abstract"/>
    <w:p>
      <w:pPr>
        <w:pStyle w:val="Heading2"/>
      </w:pPr>
      <w:r>
        <w:t>Abstract</w:t>
      </w:r>
    </w:p>
    <w:p>
      <w:pPr>
        <w:pStyle w:val="FirstParagraph"/>
      </w:pPr>
      <w:r>
        <w:t>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(frozen cohort: 475 subjects). The primary family covered three high-power transfer directions with Holm correction; coverage conditional on PD versus healthy-control (HC) class was a pre-specified safety diagnostic; recovery (target-domain calibration budgets) and attribution (prevalence-resampling and label-flip stress tests) were pre-registered secondary analyses. All three primary directions were Incompatible (family-controlled) — pre-registered statistical incompatibility with the nominal 0.90 level, a statistical rather than clinical determination: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target recalibration reached the 0.80 audit threshold with confidence-interval support using 9 and 18 target labels; in Tappy→MIT it did not within a 30% budget, and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Keywords: conformal prediction · Parkinson’s disease · keystroke dynamics · coverage audit · cross-dataset deployment · clinical decision support</w:t>
      </w:r>
      <w:r/>
      <w:r/>
    </w:p>
    <w:bookmarkEnd w:id="9"/>
    <w:bookmarkStart w:id="10" w:name="introduction"/>
    <w:p>
      <w:pPr>
        <w:pStyle w:val="Heading2"/>
      </w:pPr>
      <w:r>
        <w:t>Introduction</w:t>
      </w:r>
    </w:p>
    <w:p>
      <w:pPr>
        <w:pStyle w:val="FirstParagraph"/>
      </w:pPr>
      <w:r>
        <w:t>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and it is least trustworthy precisely when it emits a single confident wrong label, the one outcome a triage workflow cannot afford. Conformal prediction (CP) promises such calibration: under exchangeability, split CP covers the true label with probability at least 1−α regardless of the underlying model [5,6]. Deployment across datasets breaks exchangeability; theory characterizes how coverage degrades beyond exchangeability [7–10], while empirical audits in deployed clinical workflows remain sparse [17–19]. To our knowledge, no prior study has systematically audited conformal prediction coverage across publicly available Parkinson’s keystroke datasets under cross-dataset deployment.</w:t>
      </w:r>
    </w:p>
    <w:p>
      <w:pPr>
        <w:pStyle w:val="BodyText"/>
      </w:pPr>
      <w:r>
        <w:t>This audit asks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The study contributes: (i) a pre-registered, embargoed systematic audit of CP coverage across four public PD keystroke datasets, with a fixed cohort — the confirmatory family comprised three pre-specified primary transfer directions, and all 12 ordered transfer directions were examined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8" w:name="methods"/>
    <w:p>
      <w:pPr>
        <w:pStyle w:val="Heading2"/>
      </w:pPr>
      <w:r>
        <w:t>Methods</w:t>
      </w:r>
    </w:p>
    <w:bookmarkStart w:id="11" w:name="study-design-and-ethical-approval"/>
    <w:p>
      <w:pPr>
        <w:pStyle w:val="Heading3"/>
      </w:pPr>
      <w:r>
        <w:t>Study Design and Ethical Approval</w:t>
      </w:r>
    </w:p>
    <w:p>
      <w:pPr>
        <w:pStyle w:val="FirstParagraph"/>
      </w:pPr>
      <w:r>
        <w:t>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 v1.0-prereg) before any cross-dataset coverage was computed, under a 2-year embargo; reviewers can be granted view-only access during peer review.</w:t>
      </w:r>
      <w:r/>
      <w:r>
        <w:rPr>
          <w:rStyle w:val="VerbatimChar"/>
        </w:rPr>
      </w:r>
      <w:r/>
    </w:p>
    <w:bookmarkEnd w:id="11"/>
    <w:bookmarkStart w:id="12" w:name="data-sources-and-cohorts"/>
    <w:p>
      <w:pPr>
        <w:pStyle w:val="Heading3"/>
      </w:pPr>
      <w:r>
        <w:t>Data Sources and Cohorts</w:t>
      </w:r>
    </w:p>
    <w:p>
      <w:pPr>
        <w:pStyle w:val="FirstParagraph"/>
      </w:pPr>
      <w:r>
        <w:t>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Features and Models</w:t>
      </w:r>
    </w:p>
    <w:p>
      <w:pPr>
        <w:pStyle w:val="FirstParagraph"/>
      </w:pPr>
      <w:r>
        <w:t>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Conformal Procedures</w:t>
      </w:r>
    </w:p>
    <w:p>
      <w:pPr>
        <w:pStyle w:val="FirstParagraph"/>
      </w:pPr>
      <w:r>
        <w:t>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Outcomes and Audit Verdicts</w:t>
      </w:r>
    </w:p>
    <w:p>
      <w:pPr>
        <w:pStyle w:val="FirstParagraph"/>
      </w:pPr>
      <w:r>
        <w:t>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 “Holm-adjusted CI” 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r/>
      <w:r/>
      <w:r/>
      <w:r/>
    </w:p>
    <w:bookmarkEnd w:id="15"/>
    <w:bookmarkStart w:id="16" w:name="recovery-and-attribution-analyses"/>
    <w:p>
      <w:pPr>
        <w:pStyle w:val="Heading3"/>
      </w:pPr>
      <w:r>
        <w:t>Recovery and Attribution Analyses</w:t>
      </w:r>
    </w:p>
    <w:p>
      <w:pPr>
        <w:pStyle w:val="FirstParagraph"/>
      </w:pPr>
      <w:r>
        <w:t>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reporting-standards"/>
    <w:p>
      <w:pPr>
        <w:pStyle w:val="Heading3"/>
      </w:pPr>
      <w:r>
        <w:t>Reporting Standards</w:t>
      </w:r>
    </w:p>
    <w:p>
      <w:pPr>
        <w:pStyle w:val="FirstParagraph"/>
      </w:pPr>
      <w:r>
        <w:t>We report with reference to the TRIPOD+AI statement [14] where applicable; the completed checklist accompanies the submission as supplementary material.</w:t>
      </w:r>
    </w:p>
    <w:bookmarkEnd w:id="17"/>
    <w:bookmarkEnd w:id="18"/>
    <w:bookmarkStart w:id="25" w:name="results"/>
    <w:p>
      <w:pPr>
        <w:pStyle w:val="Heading2"/>
      </w:pPr>
      <w:r>
        <w:t>Results</w:t>
      </w:r>
    </w:p>
    <w:bookmarkStart w:id="19" w:name="cross-dataset-coverage-audit"/>
    <w:p>
      <w:pPr>
        <w:pStyle w:val="Heading3"/>
      </w:pPr>
      <w:r>
        <w:t>Cross-Dataset Coverage Audit</w:t>
      </w:r>
    </w:p>
    <w:p>
      <w:pPr>
        <w:pStyle w:val="FirstParagraph"/>
      </w:pPr>
      <w:r>
        <w:t>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19"/>
    <w:bookmarkStart w:id="20" w:name="class-conditional-coverage-asymmetry"/>
    <w:p>
      <w:pPr>
        <w:pStyle w:val="Heading3"/>
      </w:pPr>
      <w:r>
        <w:t>Class-Conditional Coverage Asymmetry</w:t>
      </w:r>
    </w:p>
    <w:p>
      <w:pPr>
        <w:pStyle w:val="FirstParagraph"/>
      </w:pPr>
      <w:r>
        <w:t>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not guarantees.</w:t>
      </w:r>
    </w:p>
    <w:bookmarkEnd w:id="20"/>
    <w:bookmarkStart w:id="21" w:name="coveragediscrimination-decoupling"/>
    <w:p>
      <w:pPr>
        <w:pStyle w:val="Heading3"/>
      </w:pPr>
      <w:r>
        <w:t>Coverage–Discrimination Decoupling</w:t>
      </w:r>
    </w:p>
    <w:p>
      <w:pPr>
        <w:pStyle w:val="FirstParagraph"/>
      </w:pPr>
      <w:r>
        <w:t>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matrix is shown in Fig. 7; coverage matrices are provided in the supplement.</w:t>
      </w:r>
    </w:p>
    <w:bookmarkEnd w:id="21"/>
    <w:bookmarkStart w:id="22" w:name="target-recalibration-and-recovery-cost"/>
    <w:p>
      <w:pPr>
        <w:pStyle w:val="Heading3"/>
      </w:pPr>
      <w:r>
        <w:t>Target Recalibration and Recovery Cost</w:t>
      </w:r>
    </w:p>
    <w:p>
      <w:pPr>
        <w:pStyle w:val="FirstParagraph"/>
      </w:pPr>
      <w:r>
        <w:t>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2"/>
    <w:bookmarkStart w:id="23" w:name="Xf6093039b3c9b95029ac286670ac4c04d5753bb"/>
    <w:p>
      <w:pPr>
        <w:pStyle w:val="Heading3"/>
      </w:pPr>
      <w:r>
        <w:t>Stress Tests of Alternative Shift Explanations</w:t>
      </w:r>
    </w:p>
    <w:p>
      <w:pPr>
        <w:pStyle w:val="FirstParagraph"/>
      </w:pPr>
      <w:r>
        <w:t>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3"/>
    <w:bookmarkStart w:id="24" w:name="robustness-and-subgroup-analyses"/>
    <w:p>
      <w:pPr>
        <w:pStyle w:val="Heading3"/>
      </w:pPr>
      <w:r>
        <w:t>Robustness and Subgroup Analyses</w:t>
      </w:r>
    </w:p>
    <w:p>
      <w:pPr>
        <w:pStyle w:val="FirstParagraph"/>
      </w:pPr>
      <w:r>
        <w:t>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4"/>
    <w:bookmarkEnd w:id="25"/>
    <w:bookmarkStart w:id="28" w:name="discussion"/>
    <w:p>
      <w:pPr>
        <w:pStyle w:val="Heading2"/>
      </w:pPr>
      <w:r>
        <w:t>Discussion</w:t>
      </w:r>
    </w:p>
    <w:p>
      <w:pPr>
        <w:pStyle w:val="FirstParagraph"/>
      </w:pPr>
      <w:r>
        <w:t>Under cross-dataset deployment of PD typing classifiers, empirical conformal coverage behaved as a reliability dimension distinct from discrimination. In directions where discrimination looked acceptable, coverage was statistically incompatible with the nominal level under family-wise control; where discrimination looked poor, coverage remained compatible — a pattern consistent with a coverage–efficiency trade-off for the comparator’s near-full sets. Acceptable marginal totals concealed class-conditional collapse, and recovery costs differed widely across directions. None of the tested prevalence and label-noise mechanisms alone reproduced the observed phenotype. AUC-only evaluation therefore measures discrimination but not the reliability of prediction-set coverage under deployment shift.</w:t>
      </w:r>
    </w:p>
    <w:bookmarkStart w:id="26" w:name="Xa8a17698c4bfcf7143b6f74643a14804935547e"/>
    <w:p>
      <w:pPr>
        <w:pStyle w:val="Heading3"/>
      </w:pPr>
      <w:r>
        <w:t>Coverage Auditing as Deployment Governance</w:t>
      </w:r>
    </w:p>
    <w:p>
      <w:pPr>
        <w:pStyle w:val="FirstParagraph"/>
      </w:pPr>
      <w:r>
        <w:t>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Four operational recommendations follow: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regard typing-based PD triage as one component of a health-information system referral pathway, not a standalone diagnostic.</w:t>
      </w:r>
    </w:p>
    <w:bookmarkEnd w:id="26"/>
    <w:bookmarkStart w:id="27" w:name="relation-to-prior-work"/>
    <w:p>
      <w:pPr>
        <w:pStyle w:val="Heading3"/>
      </w:pPr>
      <w:r>
        <w:t>Relation to Prior Work</w:t>
      </w:r>
    </w:p>
    <w:p>
      <w:pPr>
        <w:pStyle w:val="FirstParagraph"/>
      </w:pPr>
      <w:r>
        <w:t>Coverage audits of CP under shift exist outside medicine — at scale in computer vision [20] and as a natural-experiment diagnosis in clinical prediction [21] — and clinical conformal studies have begun reporting coverage under transport: a sepsis mortality predictor externally validated from MIMIC to eICU [17], subgroup coverage auditing under temporal shift [19], and class-conditional coverage imbalance in LLM-based mortality prediction [18], the last paralleling the class asymmetry measured here. PD digital phenotyping has used CP for medication-need intervals [11] and reliable longitudinal assessment on real-world digital neurologic signatures [12] — in-domain. Relative to these, this audit adds a pre-registered verdict protocol, class-conditional safety diagnostics, and recovery-cost quantification in a keystroke modality where uncertainty has been unexamined. Our results do not contradict CP theory; they measure what the theory predicts at the boundary of its assumptions, on data a deployment would actually meet.</w:t>
      </w:r>
    </w:p>
    <w:bookmarkEnd w:id="27"/>
    <w:bookmarkEnd w:id="28"/>
    <w:bookmarkStart w:id="29" w:name="limitations"/>
    <w:p>
      <w:pPr>
        <w:pStyle w:val="Heading2"/>
      </w:pPr>
      <w:r>
        <w:t>Limitations</w:t>
      </w:r>
    </w:p>
    <w:p>
      <w:pPr>
        <w:pStyle w:val="Compact"/>
        <w:numPr>
          <w:ilvl w:val="0"/>
          <w:numId w:val="1001"/>
        </w:numPr>
      </w:pPr>
      <w:r>
        <w:t>(1) Self-report labels qualify the estimand on self-report targets; random flips are not structured mislabeling, and reproduction claims are limited to “sufficient to reproduce” at the pre-specified doses in one direction. (2) The effective reference model is logistic regression; the originally planned LightGBM failed a pre-specified in-domain performance criterion (three pre-declared attempts), the amendment was finalized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29"/>
    <w:bookmarkStart w:id="30" w:name="conclusion"/>
    <w:p>
      <w:pPr>
        <w:pStyle w:val="Heading2"/>
      </w:pPr>
      <w:r>
        <w:t>Conclusion</w:t>
      </w:r>
    </w:p>
    <w:p>
      <w:pPr>
        <w:pStyle w:val="FirstParagraph"/>
      </w:pPr>
      <w:r>
        <w:t>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Supplementary Information The TRIPOD+AI checklist, the full 12-direction AUC and coverage matrices, per-seed split distributions, the pre-registered power analysis, and subgroup tables are provided in the supplementary material.</w:t>
      </w:r>
      <w:r/>
      <w:r/>
    </w:p>
    <w:p>
      <w:pPr>
        <w:pStyle w:val="BodyText"/>
      </w:pPr>
      <w:r>
        <w:rPr>
          <w:b/>
          <w:bCs/>
        </w:rPr>
        <w:t>Author Contributions [CRediT roles to be completed: conceptualization, methodology, software, investigation, writing — to be assigned by the author.]</w:t>
      </w:r>
      <w:r/>
      <w:r/>
    </w:p>
    <w:p>
      <w:pPr>
        <w:pStyle w:val="BodyText"/>
      </w:pPr>
      <w:r>
        <w:rPr>
          <w:b/>
          <w:bCs/>
        </w:rPr>
        <w:t>Funding [No funding was received for this study / to be completed by the author.]</w:t>
      </w:r>
      <w:r/>
      <w:r/>
    </w:p>
    <w:p>
      <w:pPr>
        <w:pStyle w:val="BodyText"/>
      </w:pPr>
      <w:r>
        <w:rPr>
          <w:b/>
          <w:bCs/>
        </w:rPr>
        <w:t>Data Availability 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fixed cohort construction with step-by-step inclusion/exclusion counts is released with the code in the public archive below.</w:t>
      </w:r>
      <w:r/>
      <w:r/>
    </w:p>
    <w:p>
      <w:pPr>
        <w:pStyle w:val="BodyText"/>
      </w:pPr>
      <w:r>
        <w:rPr>
          <w:b/>
          <w:bCs/>
        </w:rPr>
        <w:t>Code Availability The full pipeline, unit-test suite, figure/table generation scripts, and frozen result tables are publicly available at https://github.com/Tiannn0512/typing-pd-conformal-audit (public timestamp archive; frozen result tag results-frozen-v1). [A citable Zenodo DOI will be added; repository DOI to be completed.]</w:t>
      </w:r>
      <w:r/>
      <w:r/>
      <w:r/>
      <w:r>
        <w:rPr>
          <w:rStyle w:val="VerbatimChar"/>
        </w:rPr>
      </w:r>
      <w:r/>
    </w:p>
    <w:p>
      <w:pPr>
        <w:pStyle w:val="BodyText"/>
      </w:pPr>
      <w:r>
        <w:rPr>
          <w:b/>
          <w:bCs/>
        </w:rPr>
        <w:t>Declarations</w:t>
      </w:r>
    </w:p>
    <w:p>
      <w:pPr>
        <w:pStyle w:val="BodyText"/>
      </w:pPr>
      <w:r>
        <w:rPr>
          <w:b/>
          <w:bCs/>
        </w:rPr>
        <w:t>Ethics Approval 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r/>
      <w:r/>
    </w:p>
    <w:p>
      <w:pPr>
        <w:pStyle w:val="BodyText"/>
      </w:pPr>
      <w:r>
        <w:rPr>
          <w:b/>
          <w:bCs/>
        </w:rPr>
        <w:t>Consent to Participate Not applicable: no individual participant data were newly collected; all datasets are public research releases with their own consent frameworks.</w:t>
      </w:r>
      <w:r/>
      <w:r/>
    </w:p>
    <w:p>
      <w:pPr>
        <w:pStyle w:val="BodyText"/>
      </w:pPr>
      <w:r>
        <w:rPr>
          <w:b/>
          <w:bCs/>
        </w:rPr>
        <w:t>Consent for Publication Not applicable: the manuscript contains no identifiable individual data.</w:t>
      </w:r>
      <w:r/>
      <w:r/>
    </w:p>
    <w:p>
      <w:pPr>
        <w:pStyle w:val="BodyText"/>
      </w:pPr>
      <w:r>
        <w:rPr>
          <w:b/>
          <w:bCs/>
        </w:rPr>
        <w:t>Clinical Trial Number Not applicable.</w:t>
      </w:r>
      <w:r/>
      <w:r/>
    </w:p>
    <w:p>
      <w:pPr>
        <w:pStyle w:val="BodyText"/>
      </w:pPr>
      <w:r>
        <w:rPr>
          <w:b/>
          <w:bCs/>
        </w:rPr>
        <w:t>Competing Interests The author declares no competing interests. [To be confirmed.]</w:t>
      </w:r>
      <w:r/>
      <w:r/>
    </w:p>
    <w:bookmarkEnd w:id="30"/>
    <w:bookmarkStart w:id="31" w:name="references"/>
    <w:p>
      <w:pPr>
        <w:pStyle w:val="Heading2"/>
      </w:pPr>
      <w:r>
        <w:t>References</w:t>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 https://doi.org/10.1561/2200000101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 https://doi.org/10.1214/23-AOS2276</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 https://arxiv.org/abs/2607.18088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 https://arxiv.org/abs/2605.08302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Taquet V, Blot V, Morzadec T, Lacombe L, Brunel N (2022) MAPIE: an open-source library for distribution-free uncertainty quantification. arXiv:2207.12274. https://arxiv.org/abs/2207.12274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tables"/>
    <w:p>
      <w:pPr>
        <w:pStyle w:val="Heading1"/>
      </w:pPr>
      <w:r>
        <w:t>Tables</w:t>
      </w:r>
    </w:p>
    <w:p>
      <w:pPr>
        <w:pStyle w:val="FirstParagraph"/>
      </w:pPr>
      <w:r>
        <w:rPr>
          <w:b/>
          <w:bCs/>
        </w:rPr>
        <w:t>Table 1. Fixed cohort construction (subjects; PD/HC). The descriptive audit matrix covers all 12 ordered dataset pairs; the “primary family” roles refer to the confirmatory family only.</w:t>
      </w:r>
      <w:r/>
      <w:r/>
      <w:r/>
      <w:r/>
      <w:r/>
      <w:r/>
    </w:p>
    <w:tbl>
      <w:tblPr>
        <w:tblStyle w:val="Table"/>
        <w:tblW w:type="pct" w:w="4935"/>
        <w:tblLayout w:type="fixed"/>
        <w:tblLook w:firstRow="1" w:lastRow="0" w:firstColumn="0" w:lastColumn="0" w:noHBand="0" w:noVBand="0" w:val="0020"/>
      </w:tblPr>
      <w:tblGrid>
        <w:gridCol w:w="1087"/>
        <w:gridCol w:w="4710"/>
        <w:gridCol w:w="672"/>
        <w:gridCol w:w="672"/>
        <w:gridCol w:w="672"/>
      </w:tblGrid>
      <w:tr>
        <w:trPr>
          <w:tblHeader w:val="on"/>
        </w:trPr>
        <w:tc>
          <w:tcPr/>
          <w:p>
            <w:pPr>
              <w:pStyle w:val="Compact"/>
              <w:jc w:val="left"/>
            </w:pPr>
            <w:r>
              <w:t>Dataset</w:t>
            </w:r>
          </w:p>
        </w:tc>
        <w:tc>
          <w:tcPr/>
          <w:p>
            <w:pPr>
              <w:pStyle w:val="Compact"/>
              <w:jc w:val="left"/>
            </w:pPr>
            <w:r>
              <w:t>Role</w:t>
            </w:r>
          </w:p>
        </w:tc>
        <w:tc>
          <w:tcPr/>
          <w:p>
            <w:pPr>
              <w:pStyle w:val="Compact"/>
              <w:jc w:val="left"/>
            </w:pPr>
            <w:r>
              <w:t>Eligible</w:t>
            </w:r>
          </w:p>
        </w:tc>
        <w:tc>
          <w:tcPr/>
          <w:p>
            <w:pPr>
              <w:pStyle w:val="Compact"/>
              <w:jc w:val="left"/>
            </w:pPr>
            <w:r>
              <w:t>PD</w:t>
            </w:r>
          </w:p>
        </w:tc>
        <w:tc>
          <w:tcPr/>
          <w:p>
            <w:pPr>
              <w:pStyle w:val="Compact"/>
              <w:jc w:val="left"/>
            </w:pPr>
            <w:r>
              <w:t>HC</w:t>
            </w:r>
          </w:p>
        </w:tc>
      </w:tr>
      <w:tr>
        <w:tc>
          <w:tcPr/>
          <w:p>
            <w:pPr>
              <w:pStyle w:val="Compact"/>
              <w:jc w:val="left"/>
            </w:pPr>
            <w:r>
              <w:t>MIT-CSXPD</w:t>
            </w:r>
          </w:p>
        </w:tc>
        <w:tc>
          <w:tcPr/>
          <w:p>
            <w:pPr>
              <w:pStyle w:val="Compact"/>
              <w:jc w:val="left"/>
            </w:pPr>
            <w:r>
              <w:t>Clinically diagnosed; primary family: source (directions 2, 3) / target (direction 1)</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pPr>
              <w:pStyle w:val="Compact"/>
              <w:jc w:val="left"/>
            </w:pPr>
            <w:r>
              <w:t>Self-report; primary family: source (direction 1) / target (direction 2)</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t>TyPD (i-PROGNOSIS)</w:t>
            </w:r>
          </w:p>
        </w:tc>
        <w:tc>
          <w:tcPr/>
          <w:p>
            <w:pPr>
              <w:pStyle w:val="Compact"/>
              <w:jc w:val="left"/>
            </w:pPr>
            <w:r>
              <w:t>Clinical; primary family: merged source pool only; descriptive matrix: source and target</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pPr>
              <w:pStyle w:val="Compact"/>
              <w:jc w:val="left"/>
            </w:pPr>
            <w:r>
              <w:t>Self-report; primary family: merged target only; descriptive matrix: source and target</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b/>
                <w:bCs/>
              </w:rPr>
              <w:t>Total</w:t>
            </w:r>
          </w:p>
        </w:tc>
        <w:tc>
          <w:tcPr/>
          <w:p>
            <w:pPr>
              <w:pStyle w:val="Compact"/>
            </w:pP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b/>
          <w:bCs/>
        </w:rPr>
        <w:t>Table 2. Primary family (α = 0.10, split CP, confirmatory seed = 1). Verdicts under family-wise Holm correction (H0: true coverage ≥ 0.90). LR = logistic-regression primary reference; LGBM = LightGBM comparator (not in the test family).</w:t>
      </w:r>
      <w:r/>
      <w:r/>
    </w:p>
    <w:tbl>
      <w:tblPr>
        <w:tblStyle w:val="Table"/>
        <w:tblW w:type="pct" w:w="4906"/>
        <w:tblLayout w:type="fixed"/>
        <w:tblLook w:firstRow="1" w:lastRow="0" w:firstColumn="0" w:lastColumn="0" w:noHBand="0" w:noVBand="0" w:val="0020"/>
      </w:tblPr>
      <w:tblGrid>
        <w:gridCol w:w="1718"/>
        <w:gridCol w:w="821"/>
        <w:gridCol w:w="821"/>
        <w:gridCol w:w="1867"/>
        <w:gridCol w:w="1419"/>
        <w:gridCol w:w="1120"/>
      </w:tblGrid>
      <w:tr>
        <w:trPr>
          <w:tblHeader w:val="on"/>
        </w:trPr>
        <w:tc>
          <w:tcPr/>
          <w:p>
            <w:pPr>
              <w:pStyle w:val="Compact"/>
              <w:jc w:val="left"/>
            </w:pPr>
            <w:r>
              <w:t>Direction</w:t>
            </w:r>
          </w:p>
        </w:tc>
        <w:tc>
          <w:tcPr/>
          <w:p>
            <w:pPr>
              <w:pStyle w:val="Compact"/>
              <w:jc w:val="left"/>
            </w:pPr>
            <w:r>
              <w:t>Model</w:t>
            </w:r>
          </w:p>
        </w:tc>
        <w:tc>
          <w:tcPr/>
          <w:p>
            <w:pPr>
              <w:pStyle w:val="Compact"/>
              <w:jc w:val="left"/>
            </w:pPr>
            <w:r>
              <w:t>K/n</w:t>
            </w:r>
          </w:p>
        </w:tc>
        <w:tc>
          <w:tcPr/>
          <w:p>
            <w:pPr>
              <w:pStyle w:val="Compact"/>
              <w:jc w:val="left"/>
            </w:pPr>
            <w:r>
              <w:t>Coverage [95% CI]</w:t>
            </w:r>
          </w:p>
        </w:tc>
        <w:tc>
          <w:tcPr/>
          <w:p>
            <w:pPr>
              <w:pStyle w:val="Compact"/>
              <w:jc w:val="left"/>
            </w:pPr>
            <w:r>
              <w:t>Holm q</w:t>
            </w:r>
          </w:p>
        </w:tc>
        <w:tc>
          <w:tcPr/>
          <w:p>
            <w:pPr>
              <w:pStyle w:val="Compact"/>
              <w:jc w:val="left"/>
            </w:pPr>
            <w:r>
              <w:t>Verdict</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t>Incompatible</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t>Incompatible</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t>—</w:t>
            </w:r>
          </w:p>
        </w:tc>
        <w:tc>
          <w:tcPr/>
          <w:p>
            <w:pPr>
              <w:pStyle w:val="Compact"/>
              <w:jc w:val="left"/>
            </w:pPr>
            <w:r>
              <w:t>—</w:t>
            </w:r>
          </w:p>
        </w:tc>
      </w:tr>
      <w:tr>
        <w:tc>
          <w:tcPr/>
          <w:p>
            <w:pPr>
              <w:pStyle w:val="Compact"/>
              <w:jc w:val="left"/>
            </w:pPr>
            <w:r>
              <w:t>Clinical→Self-report</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t>Incompatible</w:t>
            </w:r>
          </w:p>
        </w:tc>
      </w:tr>
      <w:tr>
        <w:tc>
          <w:tcPr/>
          <w:p>
            <w:pPr>
              <w:pStyle w:val="Compact"/>
              <w:jc w:val="left"/>
            </w:pPr>
            <w:r>
              <w:t>Clinical→Self-report</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t>—</w:t>
            </w:r>
          </w:p>
        </w:tc>
        <w:tc>
          <w:tcPr/>
          <w:p>
            <w:pPr>
              <w:pStyle w:val="Compact"/>
              <w:jc w:val="left"/>
            </w:pPr>
            <w:r>
              <w:t>—</w:t>
            </w:r>
          </w:p>
        </w:tc>
      </w:tr>
    </w:tbl>
    <w:bookmarkEnd w:id="33"/>
    <w:bookmarkStart w:id="55" w:name="figures"/>
    <w:p>
      <w:pPr>
        <w:pStyle w:val="Heading1"/>
      </w:pPr>
      <w:r>
        <w:t>Figures</w:t>
      </w:r>
    </w:p>
    <w:p>
      <w:pPr>
        <w:pStyle w:val="FirstParagraph"/>
      </w:pPr>
      <w:r>
        <w:rPr>
          <w:b/>
          <w:bCs/>
        </w:rPr>
        <w:t>Fig. 1 Primary-family coverage on target cohorts (Clopper–Pearson 95% CI). Dashed line = nominal 0.90; dotted = pre-specified operational audit threshold 0.80. LR = primary reference; LGBM = comparator</w:t>
      </w:r>
      <w:r/>
      <w:r/>
    </w:p>
    <w:p>
      <w:pPr>
        <w:pStyle w:val="CaptionedFigure"/>
      </w:pPr>
      <w:r/>
    </w:p>
    <w:p>
      <w:pPr>
        <w:pStyle w:val="ImageCaption"/>
      </w:pPr>
      <w:r>
        <w:t>Fig1</w:t>
      </w:r>
    </w:p>
    <w:p>
      <w:pPr>
        <w:pStyle w:val="BodyText"/>
      </w:pPr>
      <w:r>
        <w:rPr>
          <w:b/>
          <w:bCs/>
        </w:rPr>
        <w:t>Fig. 2 PD/HC class-conditional coverage (measured, unadjusted safety diagnostic — not a guarantee). Left = LR; right = LGBM. Squares = PD; circles = HC; annotations give per-class n</w:t>
      </w:r>
      <w:r/>
      <w:r/>
    </w:p>
    <w:p>
      <w:pPr>
        <w:pStyle w:val="CaptionedFigure"/>
      </w:pPr>
      <w:r/>
    </w:p>
    <w:p>
      <w:pPr>
        <w:pStyle w:val="ImageCaption"/>
      </w:pPr>
      <w:r>
        <w:t>Fig2</w:t>
      </w:r>
    </w:p>
    <w:p>
      <w:pPr>
        <w:pStyle w:val="BodyText"/>
      </w:pPr>
      <w:r>
        <w:rPr>
          <w:b/>
          <w:bCs/>
        </w:rPr>
        <w:t>Fig. 3 Decoupling map: ΔAUC vs Δcoverage (50-seed means; 12 non-independent directions — descriptive, no correlation test). Left = LR; right = LGBM. Labels: dataset initials T = Tappy, M = MIT, Y = TyPD, O = Online English; arrow = transfer direction</w:t>
      </w:r>
      <w:r/>
      <w:r/>
    </w:p>
    <w:p>
      <w:pPr>
        <w:pStyle w:val="CaptionedFigure"/>
      </w:pPr>
      <w:r/>
    </w:p>
    <w:p>
      <w:pPr>
        <w:pStyle w:val="ImageCaption"/>
      </w:pPr>
      <w:r>
        <w:t>Fig3</w:t>
      </w:r>
    </w:p>
    <w:p>
      <w:pPr>
        <w:pStyle w:val="BodyText"/>
      </w:pPr>
      <w:r>
        <w:rPr>
          <w:b/>
          <w:bCs/>
        </w:rPr>
        <w:t>Fig. 4 Recovery-cost curves. Open markers = degenerate full-set calibration (m&lt;9); stars = weighted CP at 0 labels (rejection 0.86–1.00): coverage without utility. Non-monotonic segments reflect single-draw sampling noise (pre-declared). Audit 0.80 = pre-specified operational audit threshold. The Tappy→MIT and MIT→Tappy weighted-CP stars coincide at (0 labels, coverage 1.00) and are offset horizontally for visibility.</w:t>
      </w:r>
      <w:r/>
      <w:r/>
    </w:p>
    <w:p>
      <w:pPr>
        <w:pStyle w:val="CaptionedFigure"/>
      </w:pPr>
      <w:r/>
    </w:p>
    <w:p>
      <w:pPr>
        <w:pStyle w:val="ImageCaption"/>
      </w:pPr>
      <w:r>
        <w:t>Fig4</w:t>
      </w:r>
    </w:p>
    <w:p>
      <w:pPr>
        <w:pStyle w:val="BodyText"/>
      </w:pPr>
      <w:r>
        <w:rPr>
          <w:b/>
          <w:bCs/>
        </w:rPr>
        <w:t>Fig. 5 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r/>
      <w:r/>
    </w:p>
    <w:p>
      <w:pPr>
        <w:pStyle w:val="CaptionedFigure"/>
      </w:pPr>
      <w:r/>
    </w:p>
    <w:p>
      <w:pPr>
        <w:pStyle w:val="ImageCaption"/>
      </w:pPr>
      <w:r>
        <w:t>Fig5</w:t>
      </w:r>
    </w:p>
    <w:p>
      <w:pPr>
        <w:pStyle w:val="BodyText"/>
      </w:pPr>
      <w:r>
        <w:rPr>
          <w:b/>
          <w:bCs/>
        </w:rPr>
        <w:t>Fig. 6 Controlled stress tests, Tappy→MIT direction. A: calibration-only synthetic label-flip dose–response on the clinical source (theory-aligned). B: train+calibration label flips (deployment reading). C: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p>
    <w:p>
      <w:pPr>
        <w:pStyle w:val="CaptionedFigure"/>
      </w:pPr>
      <w:r/>
    </w:p>
    <w:p>
      <w:pPr>
        <w:pStyle w:val="ImageCaption"/>
      </w:pPr>
      <w:r>
        <w:t>Fig6</w:t>
      </w:r>
    </w:p>
    <w:p>
      <w:pPr>
        <w:pStyle w:val="BodyText"/>
      </w:pPr>
      <w:r>
        <w:rPr>
          <w:b/>
          <w:bCs/>
        </w:rPr>
        <w:t>Fig. 7 Twelve-direction transfer heatmap of mean test AUC (50 seeds), primary reference model. Rows = source dataset, columns = target dataset; the diagonal (in-domain) is not evaluated. Cell values are point estimates; the diverging colour scale spans 0.4–1.0</w:t>
      </w:r>
      <w:r/>
      <w:r/>
    </w:p>
    <w:p>
      <w:pPr>
        <w:pStyle w:val="CaptionedFigure"/>
      </w:pPr>
      <w:r/>
    </w:p>
    <w:p>
      <w:pPr>
        <w:pStyle w:val="ImageCaption"/>
      </w:pPr>
      <w:r>
        <w:t>Fig7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2026-09-29T00:53:10Z</dcterms:created>
  <dcterms:modified xsi:type="dcterms:W3CDTF">2026-09-29T00:53:10Z</dcterms:modified>
</cp:coreProperties>
</file>

<file path=docProps/custom.xml><?xml version="1.0" encoding="utf-8"?>
<Properties xmlns="http://schemas.openxmlformats.org/officeDocument/2006/custom-properties" xmlns:vt="http://schemas.openxmlformats.org/officeDocument/2006/docPropsVTypes"/>
</file>