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42631302" w:rsidR="00D96DCB" w:rsidRDefault="00597F2F" w:rsidP="000F5FBF">
      <w:pPr>
        <w:pStyle w:val="Title"/>
        <w:rPr>
          <w:rFonts w:hint="eastAsia"/>
        </w:rPr>
      </w:pPr>
      <w:r>
        <w:rPr>
          <w:rFonts w:hint="eastAsia"/>
        </w:rPr>
        <w:t>HW</w:t>
      </w:r>
      <w:r w:rsidR="00014455">
        <w:rPr>
          <w:rFonts w:hint="eastAsia"/>
        </w:rPr>
        <w:t>10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690909BD" w14:textId="77777777" w:rsidR="00014455" w:rsidRPr="00014455" w:rsidRDefault="00014455" w:rsidP="00014455">
      <w:r w:rsidRPr="00014455">
        <w:t>Read the related materials, and answer the following questions:</w:t>
      </w:r>
    </w:p>
    <w:p w14:paraId="1AC78C8D" w14:textId="77777777" w:rsidR="00014455" w:rsidRPr="00014455" w:rsidRDefault="00014455" w:rsidP="00014455">
      <w:r w:rsidRPr="00014455">
        <w:t xml:space="preserve">1. </w:t>
      </w:r>
      <w:proofErr w:type="spellStart"/>
      <w:r w:rsidRPr="00014455">
        <w:t>LServe</w:t>
      </w:r>
      <w:proofErr w:type="spellEnd"/>
      <w:r w:rsidRPr="00014455">
        <w:t xml:space="preserve"> proposes a unified sparse attention framework. How does it work for the prefill and decoding phase, respectively?</w:t>
      </w:r>
    </w:p>
    <w:p w14:paraId="7467BE7B" w14:textId="77777777" w:rsidR="00014455" w:rsidRPr="00014455" w:rsidRDefault="00014455" w:rsidP="00014455">
      <w:r w:rsidRPr="00014455">
        <w:t xml:space="preserve">2. What are the two sparse patterns that substantially contribute to the attention score, according to </w:t>
      </w:r>
      <w:proofErr w:type="spellStart"/>
      <w:r w:rsidRPr="00014455">
        <w:t>SampleAttention</w:t>
      </w:r>
      <w:proofErr w:type="spellEnd"/>
      <w:r w:rsidRPr="00014455">
        <w:t>? What are their semantics?</w:t>
      </w:r>
    </w:p>
    <w:p w14:paraId="4B037CE7" w14:textId="77777777" w:rsidR="00014455" w:rsidRPr="00014455" w:rsidRDefault="00014455" w:rsidP="00014455">
      <w:r w:rsidRPr="00014455">
        <w:t xml:space="preserve">3. How is CRA defined in </w:t>
      </w:r>
      <w:proofErr w:type="spellStart"/>
      <w:r w:rsidRPr="00014455">
        <w:t>SampleAttention</w:t>
      </w:r>
      <w:proofErr w:type="spellEnd"/>
      <w:r w:rsidRPr="00014455">
        <w:t>? Why is it an indicator of the accuracy? How is it approximately determined?</w:t>
      </w:r>
    </w:p>
    <w:p w14:paraId="5FDB8C72" w14:textId="77777777" w:rsidR="00014455" w:rsidRPr="00014455" w:rsidRDefault="00014455" w:rsidP="00014455">
      <w:r w:rsidRPr="00014455">
        <w:t> </w:t>
      </w:r>
    </w:p>
    <w:p w14:paraId="04A7EC27" w14:textId="77777777" w:rsidR="00014455" w:rsidRPr="00014455" w:rsidRDefault="00014455" w:rsidP="00014455">
      <w:r w:rsidRPr="00014455">
        <w:t>Related Materials:</w:t>
      </w:r>
    </w:p>
    <w:p w14:paraId="391B3583" w14:textId="77777777" w:rsidR="00014455" w:rsidRPr="00014455" w:rsidRDefault="00014455" w:rsidP="00014455">
      <w:proofErr w:type="spellStart"/>
      <w:r w:rsidRPr="00014455">
        <w:t>LServe</w:t>
      </w:r>
      <w:proofErr w:type="spellEnd"/>
      <w:r w:rsidRPr="00014455">
        <w:t xml:space="preserve"> paper: </w:t>
      </w:r>
      <w:hyperlink r:id="rId6" w:tgtFrame="_blank" w:history="1">
        <w:r w:rsidRPr="00014455">
          <w:rPr>
            <w:rStyle w:val="Hyperlink"/>
          </w:rPr>
          <w:t>https://arxiv.org/pdf/2502.14866Links to an external site.</w:t>
        </w:r>
      </w:hyperlink>
    </w:p>
    <w:p w14:paraId="63E0B5E9" w14:textId="77777777" w:rsidR="00014455" w:rsidRPr="00014455" w:rsidRDefault="00014455" w:rsidP="00014455">
      <w:proofErr w:type="spellStart"/>
      <w:r w:rsidRPr="00014455">
        <w:t>SampleAttention</w:t>
      </w:r>
      <w:proofErr w:type="spellEnd"/>
      <w:r w:rsidRPr="00014455">
        <w:t xml:space="preserve"> paper: </w:t>
      </w:r>
      <w:hyperlink r:id="rId7" w:tgtFrame="_blank" w:history="1">
        <w:r w:rsidRPr="00014455">
          <w:rPr>
            <w:rStyle w:val="Hyperlink"/>
          </w:rPr>
          <w:t>https://arxiv.org/pdf/2406.15486Links to an external site.</w:t>
        </w:r>
      </w:hyperlink>
    </w:p>
    <w:p w14:paraId="63D5CB7E" w14:textId="77777777" w:rsidR="0067548F" w:rsidRPr="00014455" w:rsidRDefault="0067548F" w:rsidP="006451D3">
      <w:pPr>
        <w:rPr>
          <w:b/>
          <w:bCs/>
        </w:rPr>
      </w:pPr>
    </w:p>
    <w:p w14:paraId="6629927C" w14:textId="4572E55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09C96846" w14:textId="1807E9B7" w:rsidR="00F326C9" w:rsidRPr="0067548F" w:rsidRDefault="00F326C9" w:rsidP="00F233EC">
      <w:pPr>
        <w:rPr>
          <w:b/>
          <w:bCs/>
        </w:rPr>
      </w:pPr>
      <w:r w:rsidRPr="0067548F">
        <w:rPr>
          <w:b/>
          <w:bCs/>
        </w:rPr>
        <w:t>1</w:t>
      </w:r>
      <w:r w:rsidRPr="00014455">
        <w:rPr>
          <w:b/>
          <w:bCs/>
        </w:rPr>
        <w:t xml:space="preserve">. </w:t>
      </w:r>
      <w:proofErr w:type="spellStart"/>
      <w:r w:rsidR="00014455" w:rsidRPr="00014455">
        <w:rPr>
          <w:b/>
          <w:bCs/>
        </w:rPr>
        <w:t>LServe</w:t>
      </w:r>
      <w:proofErr w:type="spellEnd"/>
      <w:r w:rsidR="00014455" w:rsidRPr="00014455">
        <w:rPr>
          <w:b/>
          <w:bCs/>
        </w:rPr>
        <w:t xml:space="preserve"> proposes a unified sparse attention framework. How does it work for the prefill and decoding phase, respectively?</w:t>
      </w:r>
    </w:p>
    <w:p w14:paraId="27161C28" w14:textId="77777777" w:rsidR="00F326C9" w:rsidRDefault="00F326C9" w:rsidP="00014455">
      <w:pPr>
        <w:rPr>
          <w:b/>
          <w:bCs/>
        </w:rPr>
      </w:pPr>
    </w:p>
    <w:p w14:paraId="7E2BEF63" w14:textId="1B7D901B" w:rsidR="00014455" w:rsidRPr="00014455" w:rsidRDefault="00014455" w:rsidP="00014455">
      <w:pPr>
        <w:pStyle w:val="ListParagraph"/>
        <w:numPr>
          <w:ilvl w:val="0"/>
          <w:numId w:val="32"/>
        </w:numPr>
      </w:pPr>
      <w:r w:rsidRPr="00014455">
        <w:rPr>
          <w:b/>
          <w:bCs/>
        </w:rPr>
        <w:t>Unified block-sparse kernel</w:t>
      </w:r>
      <w:r w:rsidRPr="00014455">
        <w:t xml:space="preserve">: both stages use the same tile/block formulation—compute a </w:t>
      </w:r>
      <w:proofErr w:type="spellStart"/>
      <w:r>
        <w:t>Tq</w:t>
      </w:r>
      <w:proofErr w:type="spellEnd"/>
      <w:r>
        <w:t xml:space="preserve"> * Tk </w:t>
      </w:r>
      <w:r w:rsidRPr="00014455">
        <w:t xml:space="preserve">tile and skip whole KV blocks judged </w:t>
      </w:r>
      <w:r>
        <w:t xml:space="preserve">as not </w:t>
      </w:r>
      <w:r w:rsidRPr="00014455">
        <w:t>important</w:t>
      </w:r>
      <w:r>
        <w:t xml:space="preserve"> and this</w:t>
      </w:r>
      <w:r w:rsidRPr="00014455">
        <w:t xml:space="preserve"> reduces the number of sequential KV iterations rather than micro-</w:t>
      </w:r>
      <w:proofErr w:type="spellStart"/>
      <w:r w:rsidRPr="00014455">
        <w:t>sparsifying</w:t>
      </w:r>
      <w:proofErr w:type="spellEnd"/>
      <w:r w:rsidRPr="00014455">
        <w:t xml:space="preserve"> within an iteration. In prefill </w:t>
      </w:r>
      <w:proofErr w:type="spellStart"/>
      <w:r>
        <w:t>Tq</w:t>
      </w:r>
      <w:proofErr w:type="spellEnd"/>
      <w:r>
        <w:t xml:space="preserve"> larger than 1</w:t>
      </w:r>
      <w:r w:rsidRPr="00014455">
        <w:t xml:space="preserve"> in decoding there’s one query so</w:t>
      </w:r>
      <w:r>
        <w:t xml:space="preserve"> </w:t>
      </w:r>
      <w:proofErr w:type="spellStart"/>
      <w:r>
        <w:t>Tq</w:t>
      </w:r>
      <w:proofErr w:type="spellEnd"/>
      <w:r>
        <w:t xml:space="preserve"> is still 1.</w:t>
      </w:r>
    </w:p>
    <w:p w14:paraId="768B9276" w14:textId="67D71BCB" w:rsidR="00014455" w:rsidRPr="00014455" w:rsidRDefault="00014455" w:rsidP="00014455">
      <w:pPr>
        <w:pStyle w:val="ListParagraph"/>
        <w:numPr>
          <w:ilvl w:val="0"/>
          <w:numId w:val="32"/>
        </w:numPr>
      </w:pPr>
      <w:r w:rsidRPr="00014455">
        <w:rPr>
          <w:b/>
          <w:bCs/>
        </w:rPr>
        <w:t>Prefill (static sparsity + fused kernel)</w:t>
      </w:r>
      <w:r w:rsidRPr="00014455">
        <w:t xml:space="preserve">: </w:t>
      </w:r>
      <w:proofErr w:type="spellStart"/>
      <w:r w:rsidRPr="00014455">
        <w:t>LServe</w:t>
      </w:r>
      <w:proofErr w:type="spellEnd"/>
      <w:r w:rsidRPr="00014455">
        <w:t xml:space="preserve"> offline partitions heads</w:t>
      </w:r>
      <w:r>
        <w:t xml:space="preserve"> about </w:t>
      </w:r>
      <w:r w:rsidRPr="00014455">
        <w:t>50% are turned into streaming heads with a fixed pattern (attend to sinks + local window). Dense and streaming heads are fused in one sparse kernel</w:t>
      </w:r>
      <w:r>
        <w:t xml:space="preserve">, </w:t>
      </w:r>
      <w:r w:rsidRPr="00014455">
        <w:t xml:space="preserve">KV for streaming vs. dense heads is kept in separate paged caches. </w:t>
      </w:r>
    </w:p>
    <w:p w14:paraId="637EAF7A" w14:textId="3275AF69" w:rsidR="00014455" w:rsidRPr="00014455" w:rsidRDefault="00014455" w:rsidP="00014455">
      <w:pPr>
        <w:pStyle w:val="ListParagraph"/>
        <w:numPr>
          <w:ilvl w:val="0"/>
          <w:numId w:val="32"/>
        </w:numPr>
      </w:pPr>
      <w:r w:rsidRPr="00014455">
        <w:rPr>
          <w:b/>
          <w:bCs/>
        </w:rPr>
        <w:t>Decoding (dynamic page sparsity + static heads)</w:t>
      </w:r>
      <w:r w:rsidRPr="00014455">
        <w:t xml:space="preserve">: Keep the static streaming heads, and on dense heads select only a constant number of KV pages per query via a hierarchical, query-centric selector; run attention against the shortened page table. </w:t>
      </w:r>
      <w:r w:rsidRPr="00014455">
        <w:t>This</w:t>
      </w:r>
      <w:r>
        <w:t xml:space="preserve"> </w:t>
      </w:r>
      <w:r w:rsidRPr="00014455">
        <w:t>bound</w:t>
      </w:r>
      <w:r w:rsidRPr="00014455">
        <w:t xml:space="preserve"> decoding complexity and combines multiplicatively with quantized KV.</w:t>
      </w:r>
    </w:p>
    <w:p w14:paraId="2A17686F" w14:textId="77777777" w:rsidR="00F51C84" w:rsidRPr="00014455" w:rsidRDefault="00F51C84" w:rsidP="00F233EC"/>
    <w:p w14:paraId="5BD3C455" w14:textId="4CC6155F" w:rsidR="00F326C9" w:rsidRDefault="00F326C9" w:rsidP="00F233EC">
      <w:pPr>
        <w:rPr>
          <w:b/>
          <w:bCs/>
        </w:rPr>
      </w:pPr>
      <w:r w:rsidRPr="00F326C9">
        <w:rPr>
          <w:b/>
          <w:bCs/>
        </w:rPr>
        <w:t xml:space="preserve">2. </w:t>
      </w:r>
      <w:r w:rsidR="00014455" w:rsidRPr="00014455">
        <w:rPr>
          <w:b/>
          <w:bCs/>
        </w:rPr>
        <w:t xml:space="preserve">What are the two sparse patterns that substantially contribute to the attention score, according to </w:t>
      </w:r>
      <w:proofErr w:type="spellStart"/>
      <w:r w:rsidR="00014455" w:rsidRPr="00014455">
        <w:rPr>
          <w:b/>
          <w:bCs/>
        </w:rPr>
        <w:t>SampleAttention</w:t>
      </w:r>
      <w:proofErr w:type="spellEnd"/>
      <w:r w:rsidR="00014455" w:rsidRPr="00014455">
        <w:rPr>
          <w:b/>
          <w:bCs/>
        </w:rPr>
        <w:t>? What are their semantics?</w:t>
      </w:r>
    </w:p>
    <w:p w14:paraId="4EF082A9" w14:textId="5CD061A6" w:rsidR="0047247C" w:rsidRDefault="0047247C" w:rsidP="0047247C">
      <w:pPr>
        <w:pStyle w:val="ListParagraph"/>
        <w:numPr>
          <w:ilvl w:val="0"/>
          <w:numId w:val="24"/>
        </w:numPr>
      </w:pPr>
      <w:r w:rsidRPr="0047247C">
        <w:rPr>
          <w:b/>
          <w:bCs/>
        </w:rPr>
        <w:t>Local window pattern:</w:t>
      </w:r>
      <w:r>
        <w:t xml:space="preserve"> high scores concentrate near each token—captures recent/short-range context (recency). </w:t>
      </w:r>
    </w:p>
    <w:p w14:paraId="7BD1620F" w14:textId="77777777" w:rsidR="0047247C" w:rsidRDefault="0047247C" w:rsidP="0047247C">
      <w:pPr>
        <w:pStyle w:val="ListParagraph"/>
        <w:ind w:left="440"/>
      </w:pPr>
    </w:p>
    <w:p w14:paraId="423AED7F" w14:textId="413F181D" w:rsidR="00F326C9" w:rsidRDefault="0047247C" w:rsidP="0047247C">
      <w:pPr>
        <w:pStyle w:val="ListParagraph"/>
        <w:numPr>
          <w:ilvl w:val="0"/>
          <w:numId w:val="24"/>
        </w:numPr>
      </w:pPr>
      <w:r w:rsidRPr="0047247C">
        <w:rPr>
          <w:b/>
          <w:bCs/>
        </w:rPr>
        <w:t xml:space="preserve">Column-stripe pattern: </w:t>
      </w:r>
      <w:r>
        <w:t xml:space="preserve">a few columns (keys) attract high attention across many queries—captures global/key contextual anchors (“salient tokens” shared across rows). </w:t>
      </w:r>
    </w:p>
    <w:p w14:paraId="5F410B3E" w14:textId="77777777" w:rsidR="0067548F" w:rsidRPr="00F326C9" w:rsidRDefault="0067548F" w:rsidP="00F233EC"/>
    <w:p w14:paraId="011EE732" w14:textId="0ACFCD96" w:rsidR="00F233EC" w:rsidRDefault="00F326C9" w:rsidP="00F233EC">
      <w:pPr>
        <w:rPr>
          <w:b/>
          <w:bCs/>
        </w:rPr>
      </w:pPr>
      <w:r w:rsidRPr="00F326C9">
        <w:rPr>
          <w:b/>
          <w:bCs/>
        </w:rPr>
        <w:lastRenderedPageBreak/>
        <w:t xml:space="preserve">3. </w:t>
      </w:r>
      <w:r w:rsidR="00014455" w:rsidRPr="00014455">
        <w:rPr>
          <w:b/>
          <w:bCs/>
        </w:rPr>
        <w:t xml:space="preserve">How is CRA defined in </w:t>
      </w:r>
      <w:proofErr w:type="spellStart"/>
      <w:r w:rsidR="00014455" w:rsidRPr="00014455">
        <w:rPr>
          <w:b/>
          <w:bCs/>
        </w:rPr>
        <w:t>SampleAttention</w:t>
      </w:r>
      <w:proofErr w:type="spellEnd"/>
      <w:r w:rsidR="00014455" w:rsidRPr="00014455">
        <w:rPr>
          <w:b/>
          <w:bCs/>
        </w:rPr>
        <w:t>? Why is it an indicator of the accuracy? How is it approximately determined?</w:t>
      </w:r>
    </w:p>
    <w:p w14:paraId="6E02E462" w14:textId="77777777" w:rsidR="00F326C9" w:rsidRPr="005A3E94" w:rsidRDefault="00F326C9" w:rsidP="00F233EC">
      <w:pPr>
        <w:rPr>
          <w:b/>
          <w:bCs/>
        </w:rPr>
      </w:pPr>
    </w:p>
    <w:p w14:paraId="55B9CBBA" w14:textId="3A3CF024" w:rsidR="0047247C" w:rsidRPr="0047247C" w:rsidRDefault="0047247C" w:rsidP="0047247C">
      <w:pPr>
        <w:pStyle w:val="ListParagraph"/>
        <w:numPr>
          <w:ilvl w:val="0"/>
          <w:numId w:val="24"/>
        </w:numPr>
      </w:pPr>
      <w:r w:rsidRPr="0047247C">
        <w:rPr>
          <w:b/>
          <w:bCs/>
        </w:rPr>
        <w:t>Definition</w:t>
      </w:r>
      <w:r w:rsidRPr="0047247C">
        <w:t xml:space="preserve">: Cumulative Residual Attention (CRA) is the minimum (over queries) of the sum of remaining attention probabilities after </w:t>
      </w:r>
      <w:proofErr w:type="spellStart"/>
      <w:r w:rsidRPr="0047247C">
        <w:t>sparsification</w:t>
      </w:r>
      <w:proofErr w:type="spellEnd"/>
      <w:r>
        <w:t>.</w:t>
      </w:r>
      <w:r w:rsidRPr="0047247C">
        <w:t xml:space="preserve"> </w:t>
      </w:r>
    </w:p>
    <w:p w14:paraId="53C97A35" w14:textId="547C314D" w:rsidR="0047247C" w:rsidRPr="0047247C" w:rsidRDefault="0047247C" w:rsidP="0047247C">
      <w:pPr>
        <w:pStyle w:val="ListParagraph"/>
        <w:numPr>
          <w:ilvl w:val="0"/>
          <w:numId w:val="24"/>
        </w:numPr>
      </w:pPr>
      <w:r w:rsidRPr="0047247C">
        <w:rPr>
          <w:b/>
          <w:bCs/>
        </w:rPr>
        <w:t>Why an accuracy indicator</w:t>
      </w:r>
      <w:r w:rsidRPr="0047247C">
        <w:t>: theory shows near-lossless sparse attention has a CRA lower bound</w:t>
      </w:r>
      <w:r>
        <w:t xml:space="preserve">. </w:t>
      </w:r>
      <w:r w:rsidRPr="0047247C">
        <w:t xml:space="preserve"> </w:t>
      </w:r>
      <w:r>
        <w:t>And e</w:t>
      </w:r>
      <w:r w:rsidRPr="0047247C">
        <w:t>mpirically, accuracy remains near full-attention when CRA is kept hig</w:t>
      </w:r>
      <w:r>
        <w:t xml:space="preserve">h, </w:t>
      </w:r>
      <w:r w:rsidRPr="0047247C">
        <w:t xml:space="preserve">so CRA serves as the sparsity quality target. </w:t>
      </w:r>
    </w:p>
    <w:p w14:paraId="195BB6F3" w14:textId="77777777" w:rsidR="0047247C" w:rsidRDefault="0047247C" w:rsidP="0047247C">
      <w:pPr>
        <w:pStyle w:val="ListParagraph"/>
        <w:numPr>
          <w:ilvl w:val="0"/>
          <w:numId w:val="24"/>
        </w:numPr>
      </w:pPr>
      <w:r w:rsidRPr="0047247C">
        <w:rPr>
          <w:b/>
          <w:bCs/>
        </w:rPr>
        <w:t>Approximate determination (runtime, low-overhead):</w:t>
      </w:r>
      <w:r w:rsidRPr="0047247C">
        <w:t xml:space="preserve"> </w:t>
      </w:r>
      <w:r>
        <w:br/>
        <w:t xml:space="preserve">This </w:t>
      </w:r>
      <w:r w:rsidRPr="0047247C">
        <w:t>two-stage, query-guided K/V filtering</w:t>
      </w:r>
      <w:r>
        <w:t xml:space="preserve"> includes</w:t>
      </w:r>
    </w:p>
    <w:p w14:paraId="23D9FE2A" w14:textId="0C025E52" w:rsidR="0047247C" w:rsidRDefault="0047247C" w:rsidP="0047247C">
      <w:pPr>
        <w:pStyle w:val="ListParagraph"/>
        <w:numPr>
          <w:ilvl w:val="1"/>
          <w:numId w:val="24"/>
        </w:numPr>
      </w:pPr>
      <w:r w:rsidRPr="0047247C">
        <w:t>stride</w:t>
      </w:r>
      <w:r>
        <w:t xml:space="preserve"> </w:t>
      </w:r>
      <w:r w:rsidRPr="0047247C">
        <w:t xml:space="preserve">sample a few queries to get sampled attention rows </w:t>
      </w:r>
    </w:p>
    <w:p w14:paraId="3CDD0626" w14:textId="77777777" w:rsidR="0047247C" w:rsidRDefault="0047247C" w:rsidP="0047247C">
      <w:pPr>
        <w:pStyle w:val="ListParagraph"/>
        <w:numPr>
          <w:ilvl w:val="1"/>
          <w:numId w:val="24"/>
        </w:numPr>
      </w:pPr>
      <w:r w:rsidRPr="0047247C">
        <w:t xml:space="preserve">column-wise reduce those samples to pick top-k key columns per head that satisfy the CRA threshold; </w:t>
      </w:r>
    </w:p>
    <w:p w14:paraId="232DF899" w14:textId="77777777" w:rsidR="0047247C" w:rsidRDefault="0047247C" w:rsidP="0047247C">
      <w:pPr>
        <w:pStyle w:val="ListParagraph"/>
        <w:numPr>
          <w:ilvl w:val="1"/>
          <w:numId w:val="24"/>
        </w:numPr>
      </w:pPr>
      <w:r w:rsidRPr="0047247C">
        <w:t xml:space="preserve">merge with a fixed local window mask for compute. </w:t>
      </w:r>
    </w:p>
    <w:p w14:paraId="736222B6" w14:textId="0641BE4B" w:rsidR="0047247C" w:rsidRPr="0047247C" w:rsidRDefault="0047247C" w:rsidP="0047247C">
      <w:pPr>
        <w:pStyle w:val="ListParagraph"/>
        <w:numPr>
          <w:ilvl w:val="1"/>
          <w:numId w:val="24"/>
        </w:numPr>
      </w:pPr>
      <w:r w:rsidRPr="0047247C">
        <w:t xml:space="preserve">Hyperparameters (CRA threshold, sampling ratio, window ratio) are set via light offline profiling. </w:t>
      </w:r>
    </w:p>
    <w:p w14:paraId="48E2EF86" w14:textId="77777777" w:rsidR="0067548F" w:rsidRPr="0067548F" w:rsidRDefault="0067548F" w:rsidP="004B74CF"/>
    <w:sectPr w:rsidR="0067548F" w:rsidRPr="0067548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667"/>
    <w:multiLevelType w:val="hybridMultilevel"/>
    <w:tmpl w:val="43462D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293A96"/>
    <w:multiLevelType w:val="hybridMultilevel"/>
    <w:tmpl w:val="9664011A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E0277D"/>
    <w:multiLevelType w:val="hybridMultilevel"/>
    <w:tmpl w:val="288017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7179"/>
    <w:multiLevelType w:val="hybridMultilevel"/>
    <w:tmpl w:val="1AE63D40"/>
    <w:lvl w:ilvl="0" w:tplc="DB42F626">
      <w:numFmt w:val="bullet"/>
      <w:lvlText w:val="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C33551"/>
    <w:multiLevelType w:val="hybridMultilevel"/>
    <w:tmpl w:val="39D61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615F3E"/>
    <w:multiLevelType w:val="hybridMultilevel"/>
    <w:tmpl w:val="55AAE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74135"/>
    <w:multiLevelType w:val="hybridMultilevel"/>
    <w:tmpl w:val="883853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A579EB"/>
    <w:multiLevelType w:val="hybridMultilevel"/>
    <w:tmpl w:val="DF6A6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3F90328"/>
    <w:multiLevelType w:val="multilevel"/>
    <w:tmpl w:val="8C5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42E60"/>
    <w:multiLevelType w:val="hybridMultilevel"/>
    <w:tmpl w:val="867CC8D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07CD7"/>
    <w:multiLevelType w:val="hybridMultilevel"/>
    <w:tmpl w:val="0542ECF6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0F65316"/>
    <w:multiLevelType w:val="hybridMultilevel"/>
    <w:tmpl w:val="66F892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40F8B"/>
    <w:multiLevelType w:val="hybridMultilevel"/>
    <w:tmpl w:val="DBAABF5C"/>
    <w:lvl w:ilvl="0" w:tplc="DB42F626">
      <w:numFmt w:val="bullet"/>
      <w:lvlText w:val=""/>
      <w:lvlJc w:val="left"/>
      <w:pPr>
        <w:ind w:left="430" w:hanging="43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B6035"/>
    <w:multiLevelType w:val="multilevel"/>
    <w:tmpl w:val="4A5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5C157A"/>
    <w:multiLevelType w:val="hybridMultilevel"/>
    <w:tmpl w:val="50D08A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FA63A1E"/>
    <w:multiLevelType w:val="multilevel"/>
    <w:tmpl w:val="A41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332D0"/>
    <w:multiLevelType w:val="hybridMultilevel"/>
    <w:tmpl w:val="0C44FE7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96D4EBB"/>
    <w:multiLevelType w:val="hybridMultilevel"/>
    <w:tmpl w:val="68700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C61CB9"/>
    <w:multiLevelType w:val="hybridMultilevel"/>
    <w:tmpl w:val="2F08A9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47DA3"/>
    <w:multiLevelType w:val="hybridMultilevel"/>
    <w:tmpl w:val="761226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1975107">
    <w:abstractNumId w:val="19"/>
  </w:num>
  <w:num w:numId="2" w16cid:durableId="1667245589">
    <w:abstractNumId w:val="31"/>
  </w:num>
  <w:num w:numId="3" w16cid:durableId="305210461">
    <w:abstractNumId w:val="12"/>
  </w:num>
  <w:num w:numId="4" w16cid:durableId="799762812">
    <w:abstractNumId w:val="1"/>
  </w:num>
  <w:num w:numId="5" w16cid:durableId="2145081330">
    <w:abstractNumId w:val="5"/>
  </w:num>
  <w:num w:numId="6" w16cid:durableId="1710180942">
    <w:abstractNumId w:val="14"/>
  </w:num>
  <w:num w:numId="7" w16cid:durableId="68624110">
    <w:abstractNumId w:val="23"/>
  </w:num>
  <w:num w:numId="8" w16cid:durableId="474026113">
    <w:abstractNumId w:val="25"/>
  </w:num>
  <w:num w:numId="9" w16cid:durableId="2071920768">
    <w:abstractNumId w:val="22"/>
  </w:num>
  <w:num w:numId="10" w16cid:durableId="383020517">
    <w:abstractNumId w:val="21"/>
  </w:num>
  <w:num w:numId="11" w16cid:durableId="1187869272">
    <w:abstractNumId w:val="11"/>
  </w:num>
  <w:num w:numId="12" w16cid:durableId="1782335616">
    <w:abstractNumId w:val="16"/>
  </w:num>
  <w:num w:numId="13" w16cid:durableId="135802379">
    <w:abstractNumId w:val="8"/>
  </w:num>
  <w:num w:numId="14" w16cid:durableId="615522232">
    <w:abstractNumId w:val="0"/>
  </w:num>
  <w:num w:numId="15" w16cid:durableId="532426707">
    <w:abstractNumId w:val="26"/>
  </w:num>
  <w:num w:numId="16" w16cid:durableId="90783952">
    <w:abstractNumId w:val="27"/>
  </w:num>
  <w:num w:numId="17" w16cid:durableId="1354116174">
    <w:abstractNumId w:val="29"/>
  </w:num>
  <w:num w:numId="18" w16cid:durableId="353310795">
    <w:abstractNumId w:val="7"/>
  </w:num>
  <w:num w:numId="19" w16cid:durableId="1463229438">
    <w:abstractNumId w:val="13"/>
  </w:num>
  <w:num w:numId="20" w16cid:durableId="1811703401">
    <w:abstractNumId w:val="10"/>
  </w:num>
  <w:num w:numId="21" w16cid:durableId="425074850">
    <w:abstractNumId w:val="3"/>
  </w:num>
  <w:num w:numId="22" w16cid:durableId="894007611">
    <w:abstractNumId w:val="6"/>
  </w:num>
  <w:num w:numId="23" w16cid:durableId="799959591">
    <w:abstractNumId w:val="32"/>
  </w:num>
  <w:num w:numId="24" w16cid:durableId="794837555">
    <w:abstractNumId w:val="28"/>
  </w:num>
  <w:num w:numId="25" w16cid:durableId="342586837">
    <w:abstractNumId w:val="24"/>
  </w:num>
  <w:num w:numId="26" w16cid:durableId="2039966840">
    <w:abstractNumId w:val="2"/>
  </w:num>
  <w:num w:numId="27" w16cid:durableId="677735887">
    <w:abstractNumId w:val="30"/>
  </w:num>
  <w:num w:numId="28" w16cid:durableId="930043054">
    <w:abstractNumId w:val="20"/>
  </w:num>
  <w:num w:numId="29" w16cid:durableId="983512381">
    <w:abstractNumId w:val="9"/>
  </w:num>
  <w:num w:numId="30" w16cid:durableId="1965312151">
    <w:abstractNumId w:val="4"/>
  </w:num>
  <w:num w:numId="31" w16cid:durableId="1285648769">
    <w:abstractNumId w:val="18"/>
  </w:num>
  <w:num w:numId="32" w16cid:durableId="97219154">
    <w:abstractNumId w:val="17"/>
  </w:num>
  <w:num w:numId="33" w16cid:durableId="17755172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1970"/>
    <w:rsid w:val="00014455"/>
    <w:rsid w:val="000304C9"/>
    <w:rsid w:val="00054801"/>
    <w:rsid w:val="000F5FBF"/>
    <w:rsid w:val="000F6BE4"/>
    <w:rsid w:val="001103E3"/>
    <w:rsid w:val="00133E38"/>
    <w:rsid w:val="00177895"/>
    <w:rsid w:val="00184453"/>
    <w:rsid w:val="001C73E2"/>
    <w:rsid w:val="00204E55"/>
    <w:rsid w:val="002077FD"/>
    <w:rsid w:val="00232F6E"/>
    <w:rsid w:val="00233E12"/>
    <w:rsid w:val="00280CA3"/>
    <w:rsid w:val="00383528"/>
    <w:rsid w:val="00393733"/>
    <w:rsid w:val="003A5016"/>
    <w:rsid w:val="00400681"/>
    <w:rsid w:val="0043379D"/>
    <w:rsid w:val="0047247C"/>
    <w:rsid w:val="00484A1F"/>
    <w:rsid w:val="004B74CF"/>
    <w:rsid w:val="004E1F99"/>
    <w:rsid w:val="00582289"/>
    <w:rsid w:val="00595B28"/>
    <w:rsid w:val="00597F2F"/>
    <w:rsid w:val="005A3174"/>
    <w:rsid w:val="005A3E94"/>
    <w:rsid w:val="005A5EBD"/>
    <w:rsid w:val="005B1251"/>
    <w:rsid w:val="005C3B4D"/>
    <w:rsid w:val="006451D3"/>
    <w:rsid w:val="00645DED"/>
    <w:rsid w:val="0067548F"/>
    <w:rsid w:val="00694D25"/>
    <w:rsid w:val="006D2F7C"/>
    <w:rsid w:val="007602CB"/>
    <w:rsid w:val="0082081E"/>
    <w:rsid w:val="008527A7"/>
    <w:rsid w:val="00864A85"/>
    <w:rsid w:val="008F1412"/>
    <w:rsid w:val="00950C87"/>
    <w:rsid w:val="00984016"/>
    <w:rsid w:val="00A03845"/>
    <w:rsid w:val="00A81CD4"/>
    <w:rsid w:val="00AD7A55"/>
    <w:rsid w:val="00AE2E93"/>
    <w:rsid w:val="00B03339"/>
    <w:rsid w:val="00BD08B9"/>
    <w:rsid w:val="00BD27F0"/>
    <w:rsid w:val="00BD30CB"/>
    <w:rsid w:val="00D03DA2"/>
    <w:rsid w:val="00D23196"/>
    <w:rsid w:val="00D41C43"/>
    <w:rsid w:val="00D914BD"/>
    <w:rsid w:val="00D96DCB"/>
    <w:rsid w:val="00E4277C"/>
    <w:rsid w:val="00E952A1"/>
    <w:rsid w:val="00E96B46"/>
    <w:rsid w:val="00EC2BFB"/>
    <w:rsid w:val="00EE6CF6"/>
    <w:rsid w:val="00F233EC"/>
    <w:rsid w:val="00F326C9"/>
    <w:rsid w:val="00F51C84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  <w:style w:type="character" w:styleId="FollowedHyperlink">
    <w:name w:val="FollowedHyperlink"/>
    <w:basedOn w:val="DefaultParagraphFont"/>
    <w:uiPriority w:val="99"/>
    <w:semiHidden/>
    <w:unhideWhenUsed/>
    <w:rsid w:val="005A3E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xiv.org/pdf/2406.1548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2502.1486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43</cp:revision>
  <cp:lastPrinted>2025-09-27T22:06:00Z</cp:lastPrinted>
  <dcterms:created xsi:type="dcterms:W3CDTF">2025-08-30T04:10:00Z</dcterms:created>
  <dcterms:modified xsi:type="dcterms:W3CDTF">2025-10-31T04:50:00Z</dcterms:modified>
</cp:coreProperties>
</file>