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Sensitivity analysis: multivariable (sub)HR per 10 % decline in eGFR difference (%) — 100 × (CKD-EPI 2012 CysC − CKD-EPI 2021 Cr) / CKD-EPI 2021 Cr — Whole cohort. Fine-Gray for competing-risk outcomes; Cox PH for 90-day death.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389"/>
        <w:gridCol w:w="778"/>
        <w:gridCol w:w="2734"/>
        <w:gridCol w:w="1083"/>
        <w:gridCol w:w="2159"/>
        <w:gridCol w:w="1132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(missing cov.)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(1.03, 1.16)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 (1.07,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(1.06,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(1.04,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 (1.09,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(1.08,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(1.09,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(1.16,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(1.01,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 (1.08,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(1.33, 2.12)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2026-09-28T17:35:39Z</dcterms:modified>
  <cp:category/>
</cp:coreProperties>
</file>