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Sensitivity analysis: multivariable (sub)HR per 10 % decline in eGFR difference (%) — 100 × (CKD-EPI 2012 CysC − CKD-EPI 2021 Cr) / CKD-EPI 2021 Cr — Carboplatin cohort. Fine-Gray for competing-risk outcomes; Cox PH for 90-day death.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90"/>
        <w:gridCol w:w="1389"/>
        <w:gridCol w:w="778"/>
        <w:gridCol w:w="2734"/>
        <w:gridCol w:w="1083"/>
        <w:gridCol w:w="2159"/>
        <w:gridCol w:w="1132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(missing cov.)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(sub)HR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2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Anemia Grade 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 (1.05, 1.21)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Anemia 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 (1.08,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Thrombocytopenia 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 (1.02,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</w:tr>
      <w:tr>
        <w:trPr>
          <w:trHeight w:val="6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Thrombocytopenia 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 (1.15, 1.80)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AKI 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 (1.02,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</w:tr>
      <w:tr>
        <w:trPr>
          <w:trHeight w:val="6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AKI (KDIGO)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 (0.96,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0.126</w:t>
            </w:r>
          </w:p>
        </w:tc>
      </w:tr>
      <w:tr>
        <w:trPr>
          <w:trHeight w:val="6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Composite Grade 2 AEs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 (1.10,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Composite Grade 3 AEs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 (1.23, 1.60)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 Hospitalization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 (1.01,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</w:tr>
      <w:tr>
        <w:trPr>
          <w:trHeight w:val="62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Platinum-Related Hospitalization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 (1.09,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6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90-Day Death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Cox PH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2.45 (1.66, 3.62)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2026-09-28T17:00:40Z</dcterms:modified>
  <cp:category/>
</cp:coreProperties>
</file>