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(sub)HR per 10 mL/min decline in eGFR discrepancy (CKD-EPI Cr-Cys − Cockcroft-Gault). Fine-Gray for competing-risk outcomes; Cox PH for 90-day death.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90"/>
        <w:gridCol w:w="1389"/>
        <w:gridCol w:w="778"/>
        <w:gridCol w:w="2734"/>
        <w:gridCol w:w="1083"/>
        <w:gridCol w:w="2159"/>
        <w:gridCol w:w="1132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(missing cov.)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(sub)HR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 (1.00, 1.14)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0.043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Anemia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(1.04,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 (1.06,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Thrombocytopenia Grade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 (1.10,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Grade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 (1.06,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2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AKI (KDIGO)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 (1.03,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trHeight w:val="62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2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 (1.07,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Composite Grade 3 AEs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 (1.15,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(1.03,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2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Platinum-Related Hospitalization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Fine-Gray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 (1.04,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90-Day Death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Cox PH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1.47 (1.25, 1.73)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2026-09-28T16:57:36Z</dcterms:modified>
  <cp:category/>
</cp:coreProperties>
</file>