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0.1 decline in eGFR ratio (CKD-EPI 2012 CysC / CKD-EPI 2021 Cr)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(1.03, 1.16)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 (1.07,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(1.04,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(1.09,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(1.08,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(1.09,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(1.16,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(1.01,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(1.08,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(1.33, 2.12)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2026-07-06T16:07:36Z</dcterms:modified>
  <cp:category/>
</cp:coreProperties>
</file>