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p>
      <w:pPr>
        <w:pStyle w:val="TableCaption"/>
        <w:jc w:val="center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60" w:before="60" w:line="240"/>
        <w:ind w:left="60" w:right="60" w:firstLine="0" w:firstLineChars="0"/>
      </w:pPr>
      <w:r>
        <w:t xml:space="preserve">Sensitivity analysis: multivariable (sub)HR per 0.1 decline in eGFR ratio (CKD-EPI 2012 CysC / CKD-EPI 2021 Cr) — Whole cohort. Fine-Gray for competing-risk outcomes; Cox PH for 90-day death.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590"/>
        <w:gridCol w:w="1389"/>
        <w:gridCol w:w="778"/>
        <w:gridCol w:w="1083"/>
        <w:gridCol w:w="2159"/>
        <w:gridCol w:w="1132"/>
      </w:tblGrid>
      <w:tr>
        <w:trPr>
          <w:trHeight w:val="618" w:hRule="auto"/>
          <w:tblHeader/>
        </w:trPr>
        header 1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Outcome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Events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(sub)HR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20" w:hRule="auto"/>
        </w:trPr>
        body 1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432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1.09 (1.03, 1.16)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Anemia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1.21 (1.07, 1.36)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1.18 (1.06, 1.31)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0.003</w:t>
            </w:r>
          </w:p>
        </w:tc>
      </w:tr>
      <w:tr>
        <w:trPr>
          <w:trHeight w:val="620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Thrombocytopenia Grade 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(1.04, 1.59)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0.020</w:t>
            </w:r>
          </w:p>
        </w:tc>
      </w:tr>
      <w:tr>
        <w:trPr>
          <w:trHeight w:val="620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Grade 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1.24 (1.09, 1.41)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0.001</w:t>
            </w:r>
          </w:p>
        </w:tc>
      </w:tr>
      <w:tr>
        <w:trPr>
          <w:trHeight w:val="620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AKI (KDIGO)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1.22 (1.08, 1.39)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</w:tr>
      <w:tr>
        <w:trPr>
          <w:trHeight w:val="620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2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1.15 (1.09, 1.21)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Composite Grade 3 AEs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1.29 (1.16, 1.43)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20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Overall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 (1.01, 1.17)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</w:tr>
      <w:tr>
        <w:trPr>
          <w:trHeight w:val="620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Platinum-Related Hospitalization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Fine-Gray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 (1.08, 1.32)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body11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90-Day Death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Cox PH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943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1.68 (1.33, 2.12)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2026-07-03T17:25:05Z</dcterms:modified>
  <cp:category/>
</cp:coreProperties>
</file>