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Sensitivity analysis: multivariable (sub)HR per 0.1 decline in eGFR ratio (CKD-EPI 2012 CysC / CKD-EPI 2021 Cr) — Carboplatin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(1.05, 1.21)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 (1.08, 1.48)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 (1.02, 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 (1.15, 1.80)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 (1.02, 1.41)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 (0.96, 1.38)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0.126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 (1.10, 1.26)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 (1.23, 1.60)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 (1.01,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 (1.09, 1.45)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2.45 (1.66, 3.62)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2026-07-07T08:49:20Z</dcterms:modified>
  <cp:category/>
</cp:coreProperties>
</file>