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0.1 decline in eGFR ratio (CKD-EPI 2012 CysC / CKD-EPI 2021 Cr)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(1.03, 1.16)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 (1.07,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(1.06,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(1.04,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(1.09,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(1.08,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(1.09,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(1.16,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(1.01,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(1.08,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(1.33, 2.12)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2026-07-06T08:53:49Z</dcterms:modified>
  <cp:category/>
</cp:coreProperties>
</file>