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0.1 decline in eGFR ratio (CKD-EPI 2012 CysC / CKD-EPI 2021 Cr)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(1.01, 1.19)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(1.02,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(0.92,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0.208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 (1.39, 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(0.97,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(1.01,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(1.05,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 (1.19,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(1.03,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 (1.13,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2.71 (1.63, 4.51)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2026-07-04T10:36:41Z</dcterms:modified>
  <cp:category/>
</cp:coreProperties>
</file>