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0.1 decline in eGFR ratio (CKD-EPI 2012 CysC / CKD-EPI 2021 Cr)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(1.05, 1.21)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(1.08,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(1.02,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 (1.15, 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(1.02,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(0.96,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(1.10,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 (1.23, 1.60)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(1.01,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(1.09,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 (1.66, 3.62)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2026-07-04T10:33:54Z</dcterms:modified>
  <cp:category/>
</cp:coreProperties>
</file>