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eGFR difference metrics — whole cohort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776"/>
        <w:gridCol w:w="7600"/>
        <w:gridCol w:w="1132"/>
        <w:gridCol w:w="778"/>
        <w:gridCol w:w="2025"/>
        <w:gridCol w:w="1585"/>
        <w:gridCol w:w="1413"/>
        <w:gridCol w:w="1609"/>
        <w:gridCol w:w="1621"/>
      </w:tblGrid>
      <w:tr>
        <w:trPr>
          <w:trHeight w:val="61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Formula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Unit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 [IQR]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Min, 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Skewness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0, n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−10, n (%)</w:t>
            </w:r>
          </w:p>
        </w:tc>
      </w:tr>
      <w:tr>
        <w:trPr>
          <w:trHeight w:val="62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 difference (%) — submitted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× (CKD-EPI Cr-Cys unindexed − CG) / CG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 [-14.6, 14.7]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-54.1, 76.8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473 (50.2%)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 (31.9%)</w:t>
            </w:r>
          </w:p>
        </w:tc>
      </w:tr>
      <w:tr>
        <w:trPr>
          <w:trHeight w:val="62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 difference, log scale (%) — item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× ln(CKD-EPI Cr-Cys unindexed / CG)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 [-15.8, 13.7]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-78.0, 57.0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309 (32.8%)</w:t>
            </w:r>
          </w:p>
        </w:tc>
      </w:tr>
      <w:tr>
        <w:trPr>
          <w:trHeight w:val="6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 difference (%), BSA-indexed — item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100 × (CKD-EPI Cr-Cys per 1.73 m² − CG × 1.73/BSA) / (CG × 1.73/BSA)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 [-14.6, 14.7]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-54.1, 76.8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473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301 (31.9%)</w:t>
            </w:r>
          </w:p>
        </w:tc>
      </w:tr>
      <w:tr>
        <w:trPr>
          <w:trHeight w:val="62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Absolute eGFR difference — item 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CKD-EPI Cr-Cys unindexed − CG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mL/min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 [-12.8, 10.5]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-209.8, 35.4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473 (50.2%)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282 (29.9%)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2026-10-08T16:28:00Z</dcterms:modified>
  <cp:category/>
</cp:coreProperties>
</file>