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(sub)HR per 10 % decline in eGFR difference — log scale vs submitted metric — whole cohort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4849"/>
        <w:gridCol w:w="1609"/>
        <w:gridCol w:w="5595"/>
        <w:gridCol w:w="1694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per 10 % decline, log scale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(log scale)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per 10 % decline, submitted metric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(submitted)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(1.15-1.31)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(1.14-1.32)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 (1.22-1.55)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 (1.18-1.57)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(1.15-1.41)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 (1.16-1.48)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 (1.19-1.67)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 (1.28-1.92)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(1.11-1.43)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(1.14-1.52)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(1.16-1.49)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 (1.17-1.56)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(1.21-1.37)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(1.21-1.38)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 (1.38-1.68)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 (1.38-1.77)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(1.13-1.33)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(1.11-1.33)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 (1.25-1.51)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 (1.24-1.56)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 (Cox PH)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 (1.33-1.94)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 (1.35-2.13)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2026-10-08T16:28:00Z</dcterms:modified>
  <cp:category/>
</cp:coreProperties>
</file>