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Restricted cubic spline (4 knots): tests of overall association and of non-linearity — whole cohort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3749"/>
        <w:gridCol w:w="2807"/>
        <w:gridCol w:w="3138"/>
        <w:gridCol w:w="5669"/>
        <w:gridCol w:w="3480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Knots, log scale (5/35/65/95th pct)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 overall, log scale (3 df)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 non-linear, log scale (2 df)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Linear curve inside spline 95% CI (% of plotted range)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 non-linear, submitted % (2 df)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-38.6 / -8.3 / 7.6 / 31.0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-38.6 / -8.3 / 7.6 / 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-38.6 / -8.3 / 7.6 / 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-38.6 / -8.3 / 7.6 / 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0.288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-38.6 / -8.3 / 7.6 / 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-38.6 / -8.3 / 7.6 / 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-38.6 / -8.3 / 7.6 / 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-38.6 / -8.3 / 7.6 / 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-38.6 / -8.3 / 7.6 / 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-38.6 / -8.3 / 7.6 / 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</w:p>
        </w:tc>
      </w:tr>
      <w:tr>
        <w:trPr>
          <w:trHeight w:val="62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 (Cox PH)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-38.6 / -8.3 / 7.6 / 31.0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2026-10-08T16:28:02Z</dcterms:modified>
  <cp:category/>
</cp:coreProperties>
</file>