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eGFR difference metrics — whole cohort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76"/>
        <w:gridCol w:w="7600"/>
        <w:gridCol w:w="1132"/>
        <w:gridCol w:w="778"/>
        <w:gridCol w:w="2025"/>
        <w:gridCol w:w="1585"/>
        <w:gridCol w:w="1413"/>
        <w:gridCol w:w="1609"/>
        <w:gridCol w:w="1621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Formula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[IQR]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Min,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0,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−10, n (%)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difference (%) — submitted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× (CKD-EPI Cr-Cys unindexed − CG) / CG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 [-14.6, 14.7]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-54.1, 76.8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(50.2%)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 (31.9%)</w:t>
            </w:r>
          </w:p>
        </w:tc>
      </w:tr>
      <w:tr>
        <w:trPr>
          <w:trHeight w:val="62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difference, log scale (%) — item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× ln(CKD-EPI Cr-Cys unindexed / CG)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 [-15.8, 13.7]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-78.0, 57.0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 (32.8%)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difference (%), BSA-indexed — item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× (CKD-EPI Cr-Cys per 1.73 m² − CG × 1.73/BSA) / (CG × 1.73/BSA)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 [-14.6, 14.7]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-54.1, 76.8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 (31.9%)</w:t>
            </w:r>
          </w:p>
        </w:tc>
      </w:tr>
      <w:tr>
        <w:trPr>
          <w:trHeight w:val="62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Absolute eGFR difference — item 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CKD-EPI Cr-Cys unindexed − CG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mL/min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 [-12.8, 10.5]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-209.8, 35.4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(50.2%)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 (29.9%)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2026-10-05T07:55:18Z</dcterms:modified>
  <cp:category/>
</cp:coreProperties>
</file>