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10 % decline in eGFR difference — log scale vs submitted metric — whole cohort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4849"/>
        <w:gridCol w:w="1609"/>
        <w:gridCol w:w="5595"/>
        <w:gridCol w:w="1694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per 10 % decline, log scale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 (log scale)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per 10 % decline, submitted metric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 (submitted)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 (1.15-1.31)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 (1.14-1.32)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(1.22-1.55)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(1.18-1.57)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 (1.15-1.41)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(1.16-1.48)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 (1.19-1.67)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(1.28-1.92)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(1.11-1.43)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(1.14-1.52)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(1.16-1.49)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 (1.17-1.56)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(1.21-1.37)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(1.21-1.38)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 (1.38-1.68)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 (1.38-1.77)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(1.13-1.33)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(1.11-1.33)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(1.25-1.51)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(1.24-1.56)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 (Cox PH)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 (1.33-1.94)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 (1.35-2.13)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2026-10-05T07:55:18Z</dcterms:modified>
  <cp:category/>
</cp:coreProperties>
</file>