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(sub)HR per 10 mL/min decline in eGFR discrepancy (CKD-EPI Cr-Cys − Cockcroft-Gault).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389"/>
        <w:gridCol w:w="778"/>
        <w:gridCol w:w="2734"/>
        <w:gridCol w:w="1083"/>
        <w:gridCol w:w="2159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 (1.00, 1.14)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0.043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 (1.04, 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 (1.06, 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 (1.10, 1.42)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 (1.06, 1.29)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(1.03, 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 (1.07, 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 (1.15, 1.36)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 (1.03, 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(1.04, 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 (1.25, 1.73)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2026-09-28T15:19:46Z</dcterms:modified>
  <cp:category/>
</cp:coreProperties>
</file>