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0.1 decline in eGFR ratio (CKD-EPI 2012 CysC / CKD-EPI 2021 Cr)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(1.05, 1.21)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(1.08,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(1.02,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 (1.15, 1.80)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 (1.02,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(0.96,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0.126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(1.10,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 (1.23, 1.60)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(1.01,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(1.09,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 (1.66, 3.62)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2026-07-07T08:25:01Z</dcterms:modified>
  <cp:category/>
</cp:coreProperties>
</file>